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483954"/>
        <w:docPartObj>
          <w:docPartGallery w:val="Cover Pages"/>
          <w:docPartUnique/>
        </w:docPartObj>
      </w:sdtPr>
      <w:sdtEndPr>
        <w:rPr>
          <w:rFonts w:cs="Arial"/>
          <w:szCs w:val="20"/>
        </w:rPr>
      </w:sdtEndPr>
      <w:sdtContent>
        <w:p w14:paraId="1F1DE4A7" w14:textId="77777777" w:rsidR="007916FF" w:rsidRPr="003B37F4" w:rsidRDefault="007916FF"/>
        <w:p w14:paraId="58D9AD2A" w14:textId="77777777" w:rsidR="007916FF" w:rsidRPr="003B37F4" w:rsidRDefault="00B119B1">
          <w:r w:rsidRPr="003B37F4">
            <w:rPr>
              <w:noProof/>
            </w:rPr>
            <mc:AlternateContent>
              <mc:Choice Requires="wpg">
                <w:drawing>
                  <wp:anchor distT="0" distB="0" distL="114300" distR="114300" simplePos="0" relativeHeight="251660288" behindDoc="0" locked="0" layoutInCell="0" allowOverlap="1" wp14:anchorId="2707C06B" wp14:editId="6F6D9E70">
                    <wp:simplePos x="0" y="0"/>
                    <wp:positionH relativeFrom="page">
                      <wp:align>center</wp:align>
                    </wp:positionH>
                    <wp:positionV relativeFrom="margin">
                      <wp:align>center</wp:align>
                    </wp:positionV>
                    <wp:extent cx="7771765" cy="914400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9144000"/>
                              <a:chOff x="0" y="1440"/>
                              <a:chExt cx="12239" cy="12960"/>
                            </a:xfrm>
                          </wpg:grpSpPr>
                          <wpg:grpSp>
                            <wpg:cNvPr id="7" name="Group 3"/>
                            <wpg:cNvGrpSpPr>
                              <a:grpSpLocks/>
                            </wpg:cNvGrpSpPr>
                            <wpg:grpSpPr bwMode="auto">
                              <a:xfrm>
                                <a:off x="0" y="9661"/>
                                <a:ext cx="12239" cy="4739"/>
                                <a:chOff x="-6" y="3399"/>
                                <a:chExt cx="12197" cy="4253"/>
                              </a:xfrm>
                            </wpg:grpSpPr>
                            <wpg:grpSp>
                              <wpg:cNvPr id="9" name="Group 4"/>
                              <wpg:cNvGrpSpPr>
                                <a:grpSpLocks/>
                              </wpg:cNvGrpSpPr>
                              <wpg:grpSpPr bwMode="auto">
                                <a:xfrm>
                                  <a:off x="-6" y="3717"/>
                                  <a:ext cx="12189" cy="3550"/>
                                  <a:chOff x="18" y="7468"/>
                                  <a:chExt cx="12189" cy="3550"/>
                                </a:xfrm>
                              </wpg:grpSpPr>
                              <wps:wsp>
                                <wps:cNvPr id="10"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Rectangle 14"/>
                            <wps:cNvSpPr>
                              <a:spLocks noChangeArrowheads="1"/>
                            </wps:cNvSpPr>
                            <wps:spPr bwMode="auto">
                              <a:xfrm>
                                <a:off x="1800" y="1440"/>
                                <a:ext cx="8638"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Company"/>
                                    <w:id w:val="15866524"/>
                                    <w:dataBinding w:prefixMappings="xmlns:ns0='http://schemas.openxmlformats.org/officeDocument/2006/extended-properties'" w:xpath="/ns0:Properties[1]/ns0:Company[1]" w:storeItemID="{6668398D-A668-4E3E-A5EB-62B293D839F1}"/>
                                    <w:text/>
                                  </w:sdtPr>
                                  <w:sdtEndPr/>
                                  <w:sdtContent>
                                    <w:p w14:paraId="19B48A6C" w14:textId="77777777" w:rsidR="0056024F" w:rsidRDefault="0056024F">
                                      <w:pPr>
                                        <w:rPr>
                                          <w:b/>
                                          <w:bCs/>
                                          <w:color w:val="808080" w:themeColor="text1" w:themeTint="7F"/>
                                          <w:sz w:val="32"/>
                                          <w:szCs w:val="32"/>
                                        </w:rPr>
                                      </w:pPr>
                                      <w:r>
                                        <w:rPr>
                                          <w:b/>
                                          <w:bCs/>
                                          <w:color w:val="808080" w:themeColor="text1" w:themeTint="7F"/>
                                          <w:sz w:val="32"/>
                                          <w:szCs w:val="32"/>
                                        </w:rPr>
                                        <w:t>Champaign Health District</w:t>
                                      </w:r>
                                    </w:p>
                                  </w:sdtContent>
                                </w:sdt>
                                <w:p w14:paraId="3E2F03A9" w14:textId="77777777" w:rsidR="0056024F" w:rsidRDefault="0056024F">
                                  <w:pPr>
                                    <w:rPr>
                                      <w:b/>
                                      <w:bCs/>
                                      <w:color w:val="808080" w:themeColor="text1" w:themeTint="7F"/>
                                      <w:sz w:val="32"/>
                                      <w:szCs w:val="32"/>
                                    </w:rPr>
                                  </w:pPr>
                                </w:p>
                              </w:txbxContent>
                            </wps:txbx>
                            <wps:bodyPr rot="0" vert="horz" wrap="square" lIns="91440" tIns="45720" rIns="91440" bIns="45720" anchor="t" anchorCtr="0" upright="1">
                              <a:spAutoFit/>
                            </wps:bodyPr>
                          </wps:wsp>
                          <wps:wsp>
                            <wps:cNvPr id="21" name="Rectangle 15"/>
                            <wps:cNvSpPr>
                              <a:spLocks noChangeArrowheads="1"/>
                            </wps:cNvSpPr>
                            <wps:spPr bwMode="auto">
                              <a:xfrm>
                                <a:off x="6494" y="11160"/>
                                <a:ext cx="4998" cy="1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96"/>
                                      <w:szCs w:val="96"/>
                                    </w:rPr>
                                    <w:alias w:val="Year"/>
                                    <w:id w:val="18366977"/>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14:paraId="6929D34D" w14:textId="60DCBE33" w:rsidR="0056024F" w:rsidRDefault="002D4797">
                                      <w:pPr>
                                        <w:jc w:val="right"/>
                                        <w:rPr>
                                          <w:sz w:val="96"/>
                                          <w:szCs w:val="96"/>
                                        </w:rPr>
                                      </w:pPr>
                                      <w:r w:rsidRPr="003B37F4">
                                        <w:rPr>
                                          <w:sz w:val="96"/>
                                          <w:szCs w:val="96"/>
                                        </w:rPr>
                                        <w:t>22</w:t>
                                      </w:r>
                                    </w:p>
                                  </w:sdtContent>
                                </w:sdt>
                              </w:txbxContent>
                            </wps:txbx>
                            <wps:bodyPr rot="0" vert="horz" wrap="square" lIns="91440" tIns="45720" rIns="91440" bIns="45720" anchor="t" anchorCtr="0" upright="1">
                              <a:spAutoFit/>
                            </wps:bodyPr>
                          </wps:wsp>
                          <wps:wsp>
                            <wps:cNvPr id="22"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14:paraId="74909A1D" w14:textId="77777777" w:rsidR="0056024F" w:rsidRDefault="0056024F">
                                      <w:pPr>
                                        <w:rPr>
                                          <w:b/>
                                          <w:bCs/>
                                          <w:color w:val="1F497D" w:themeColor="text2"/>
                                          <w:sz w:val="72"/>
                                          <w:szCs w:val="72"/>
                                        </w:rPr>
                                      </w:pPr>
                                      <w:r>
                                        <w:rPr>
                                          <w:b/>
                                          <w:bCs/>
                                          <w:color w:val="1F497D" w:themeColor="text2"/>
                                          <w:sz w:val="72"/>
                                          <w:szCs w:val="72"/>
                                        </w:rPr>
                                        <w:t>Annual Financial Report</w:t>
                                      </w:r>
                                    </w:p>
                                  </w:sdtContent>
                                </w:sdt>
                                <w:p w14:paraId="6A7550CE" w14:textId="77777777" w:rsidR="0056024F" w:rsidRDefault="0056024F" w:rsidP="00D040D1">
                                  <w:pPr>
                                    <w:jc w:val="center"/>
                                    <w:rPr>
                                      <w:b/>
                                      <w:bCs/>
                                      <w:color w:val="4F81BD" w:themeColor="accent1"/>
                                      <w:sz w:val="40"/>
                                      <w:szCs w:val="40"/>
                                    </w:rPr>
                                  </w:pPr>
                                  <w:r>
                                    <w:rPr>
                                      <w:b/>
                                      <w:bCs/>
                                      <w:color w:val="4F81BD" w:themeColor="accent1"/>
                                      <w:sz w:val="40"/>
                                      <w:szCs w:val="40"/>
                                    </w:rPr>
                                    <w:t>(Unaudited)</w:t>
                                  </w:r>
                                </w:p>
                                <w:sdt>
                                  <w:sdtPr>
                                    <w:rPr>
                                      <w:b/>
                                      <w:bCs/>
                                      <w:color w:val="808080" w:themeColor="text1" w:themeTint="7F"/>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14:paraId="31A9DBDC" w14:textId="77777777" w:rsidR="0056024F" w:rsidRDefault="0056024F">
                                      <w:pPr>
                                        <w:rPr>
                                          <w:b/>
                                          <w:bCs/>
                                          <w:color w:val="808080" w:themeColor="text1" w:themeTint="7F"/>
                                          <w:sz w:val="32"/>
                                          <w:szCs w:val="32"/>
                                        </w:rPr>
                                      </w:pPr>
                                      <w:r>
                                        <w:rPr>
                                          <w:b/>
                                          <w:bCs/>
                                          <w:color w:val="808080" w:themeColor="text1" w:themeTint="7F"/>
                                          <w:sz w:val="32"/>
                                          <w:szCs w:val="32"/>
                                        </w:rPr>
                                        <w:t>Gabe Jones, MPH</w:t>
                                      </w:r>
                                    </w:p>
                                  </w:sdtContent>
                                </w:sdt>
                                <w:p w14:paraId="5C644569" w14:textId="77777777" w:rsidR="0056024F" w:rsidRDefault="0056024F">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2707C06B" id="Group 2" o:spid="_x0000_s1026" style="position:absolute;margin-left:0;margin-top:0;width:611.95pt;height:10in;z-index:251660288;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" path="m,l17,2863,7132,2578r,-2378l,xe" fillcolor="#a7bfde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" path="m,569l,2930r3466,620l3466,,,569xe" fillcolor="#d3dfee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" path="m,l,3550,1591,2746r,-2009l,xe" fillcolor="#a7bfde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" path="m,921l2060,r16,3851l,2981,,921xe" fillcolor="#d3dfee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" path="m,l17,3835,6011,2629r,-1390l,xe" fillcolor="#a7bfde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" path="m,1038l,2411,4102,3432,4102,,,1038xe" fillcolor="#d3dfee [820]" stroked="f">
                        <v:fill opacity="46003f"/>
                        <v:path arrowok="t" o:connecttype="custom" o:connectlocs="0,1038;0,2411;4102,3432;4102,0;0,1038" o:connectangles="0,0,0,0,0"/>
                      </v:shape>
                    </v:group>
                    <v:rect id="Rectangle 14" o:spid="_x0000_s1038" style="position:absolute;left:1800;top:1440;width:8638;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" filled="f" stroked="f">
                      <v:textbox style="mso-fit-shape-to-text:t">
                        <w:txbxContent>
                          <w:sdt>
                            <w:sdtPr>
                              <w:rPr>
                                <w:b/>
                                <w:bCs/>
                                <w:color w:val="808080" w:themeColor="text1" w:themeTint="7F"/>
                                <w:sz w:val="32"/>
                                <w:szCs w:val="32"/>
                              </w:rPr>
                              <w:alias w:val="Company"/>
                              <w:id w:val="15866524"/>
                              <w:dataBinding w:prefixMappings="xmlns:ns0='http://schemas.openxmlformats.org/officeDocument/2006/extended-properties'" w:xpath="/ns0:Properties[1]/ns0:Company[1]" w:storeItemID="{6668398D-A668-4E3E-A5EB-62B293D839F1}"/>
                              <w:text/>
                            </w:sdtPr>
                            <w:sdtEndPr/>
                            <w:sdtContent>
                              <w:p w14:paraId="19B48A6C" w14:textId="77777777" w:rsidR="0056024F" w:rsidRDefault="0056024F">
                                <w:pPr>
                                  <w:rPr>
                                    <w:b/>
                                    <w:bCs/>
                                    <w:color w:val="808080" w:themeColor="text1" w:themeTint="7F"/>
                                    <w:sz w:val="32"/>
                                    <w:szCs w:val="32"/>
                                  </w:rPr>
                                </w:pPr>
                                <w:r>
                                  <w:rPr>
                                    <w:b/>
                                    <w:bCs/>
                                    <w:color w:val="808080" w:themeColor="text1" w:themeTint="7F"/>
                                    <w:sz w:val="32"/>
                                    <w:szCs w:val="32"/>
                                  </w:rPr>
                                  <w:t>Champaign Health District</w:t>
                                </w:r>
                              </w:p>
                            </w:sdtContent>
                          </w:sdt>
                          <w:p w14:paraId="3E2F03A9" w14:textId="77777777" w:rsidR="0056024F" w:rsidRDefault="0056024F">
                            <w:pPr>
                              <w:rPr>
                                <w:b/>
                                <w:bCs/>
                                <w:color w:val="808080" w:themeColor="text1" w:themeTint="7F"/>
                                <w:sz w:val="32"/>
                                <w:szCs w:val="32"/>
                              </w:rPr>
                            </w:pPr>
                          </w:p>
                        </w:txbxContent>
                      </v:textbox>
                    </v:rect>
                    <v:rect id="Rectangle 15" o:spid="_x0000_s1039" style="position:absolute;left:6494;top:11160;width:4998;height:1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" filled="f" stroked="f">
                      <v:textbox style="mso-fit-shape-to-text:t">
                        <w:txbxContent>
                          <w:sdt>
                            <w:sdtPr>
                              <w:rPr>
                                <w:sz w:val="96"/>
                                <w:szCs w:val="96"/>
                              </w:rPr>
                              <w:alias w:val="Year"/>
                              <w:id w:val="18366977"/>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14:paraId="6929D34D" w14:textId="60DCBE33" w:rsidR="0056024F" w:rsidRDefault="002D4797">
                                <w:pPr>
                                  <w:jc w:val="right"/>
                                  <w:rPr>
                                    <w:sz w:val="96"/>
                                    <w:szCs w:val="96"/>
                                  </w:rPr>
                                </w:pPr>
                                <w:r w:rsidRPr="003B37F4">
                                  <w:rPr>
                                    <w:sz w:val="96"/>
                                    <w:szCs w:val="96"/>
                                  </w:rPr>
                                  <w:t>22</w:t>
                                </w:r>
                              </w:p>
                            </w:sdtContent>
                          </w:sdt>
                        </w:txbxContent>
                      </v:textbox>
                    </v:rect>
                    <v:rect id="Rectangle 16" o:spid="_x0000_s1040"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" filled="f" stroked="f">
                      <v:textbo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14:paraId="74909A1D" w14:textId="77777777" w:rsidR="0056024F" w:rsidRDefault="0056024F">
                                <w:pPr>
                                  <w:rPr>
                                    <w:b/>
                                    <w:bCs/>
                                    <w:color w:val="1F497D" w:themeColor="text2"/>
                                    <w:sz w:val="72"/>
                                    <w:szCs w:val="72"/>
                                  </w:rPr>
                                </w:pPr>
                                <w:r>
                                  <w:rPr>
                                    <w:b/>
                                    <w:bCs/>
                                    <w:color w:val="1F497D" w:themeColor="text2"/>
                                    <w:sz w:val="72"/>
                                    <w:szCs w:val="72"/>
                                  </w:rPr>
                                  <w:t>Annual Financial Report</w:t>
                                </w:r>
                              </w:p>
                            </w:sdtContent>
                          </w:sdt>
                          <w:p w14:paraId="6A7550CE" w14:textId="77777777" w:rsidR="0056024F" w:rsidRDefault="0056024F" w:rsidP="00D040D1">
                            <w:pPr>
                              <w:jc w:val="center"/>
                              <w:rPr>
                                <w:b/>
                                <w:bCs/>
                                <w:color w:val="4F81BD" w:themeColor="accent1"/>
                                <w:sz w:val="40"/>
                                <w:szCs w:val="40"/>
                              </w:rPr>
                            </w:pPr>
                            <w:r>
                              <w:rPr>
                                <w:b/>
                                <w:bCs/>
                                <w:color w:val="4F81BD" w:themeColor="accent1"/>
                                <w:sz w:val="40"/>
                                <w:szCs w:val="40"/>
                              </w:rPr>
                              <w:t>(Unaudited)</w:t>
                            </w:r>
                          </w:p>
                          <w:sdt>
                            <w:sdtPr>
                              <w:rPr>
                                <w:b/>
                                <w:bCs/>
                                <w:color w:val="808080" w:themeColor="text1" w:themeTint="7F"/>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14:paraId="31A9DBDC" w14:textId="77777777" w:rsidR="0056024F" w:rsidRDefault="0056024F">
                                <w:pPr>
                                  <w:rPr>
                                    <w:b/>
                                    <w:bCs/>
                                    <w:color w:val="808080" w:themeColor="text1" w:themeTint="7F"/>
                                    <w:sz w:val="32"/>
                                    <w:szCs w:val="32"/>
                                  </w:rPr>
                                </w:pPr>
                                <w:r>
                                  <w:rPr>
                                    <w:b/>
                                    <w:bCs/>
                                    <w:color w:val="808080" w:themeColor="text1" w:themeTint="7F"/>
                                    <w:sz w:val="32"/>
                                    <w:szCs w:val="32"/>
                                  </w:rPr>
                                  <w:t>Gabe Jones, MPH</w:t>
                                </w:r>
                              </w:p>
                            </w:sdtContent>
                          </w:sdt>
                          <w:p w14:paraId="5C644569" w14:textId="77777777" w:rsidR="0056024F" w:rsidRDefault="0056024F">
                            <w:pPr>
                              <w:rPr>
                                <w:b/>
                                <w:bCs/>
                                <w:color w:val="808080" w:themeColor="text1" w:themeTint="7F"/>
                                <w:sz w:val="32"/>
                                <w:szCs w:val="32"/>
                              </w:rPr>
                            </w:pPr>
                          </w:p>
                        </w:txbxContent>
                      </v:textbox>
                    </v:rect>
                    <w10:wrap anchorx="page" anchory="margin"/>
                  </v:group>
                </w:pict>
              </mc:Fallback>
            </mc:AlternateContent>
          </w:r>
        </w:p>
        <w:p w14:paraId="31D4FD93" w14:textId="77777777" w:rsidR="007916FF" w:rsidRPr="003B37F4" w:rsidRDefault="007916FF">
          <w:pPr>
            <w:widowControl/>
            <w:autoSpaceDE/>
            <w:autoSpaceDN/>
            <w:adjustRightInd/>
            <w:spacing w:after="200"/>
            <w:rPr>
              <w:rFonts w:cs="Arial"/>
              <w:szCs w:val="20"/>
            </w:rPr>
          </w:pPr>
          <w:r w:rsidRPr="003B37F4">
            <w:rPr>
              <w:rFonts w:cs="Arial"/>
              <w:szCs w:val="20"/>
            </w:rPr>
            <w:br w:type="page"/>
          </w:r>
        </w:p>
      </w:sdtContent>
    </w:sdt>
    <w:p w14:paraId="5310B7A9" w14:textId="77777777" w:rsidR="00CB12C8" w:rsidRPr="003B37F4" w:rsidRDefault="00CB12C8" w:rsidP="002055FE">
      <w:pPr>
        <w:pStyle w:val="TOCHeading"/>
      </w:pPr>
    </w:p>
    <w:p w14:paraId="43629E45" w14:textId="02ACF50D" w:rsidR="002055FE" w:rsidRPr="003B37F4" w:rsidRDefault="001739F3">
      <w:pPr>
        <w:pStyle w:val="TOC1"/>
        <w:tabs>
          <w:tab w:val="right" w:leader="dot" w:pos="9350"/>
        </w:tabs>
        <w:rPr>
          <w:rFonts w:asciiTheme="minorHAnsi" w:eastAsiaTheme="minorEastAsia" w:hAnsiTheme="minorHAnsi" w:cstheme="minorBidi"/>
          <w:noProof/>
          <w:sz w:val="22"/>
          <w:szCs w:val="22"/>
        </w:rPr>
      </w:pPr>
      <w:r w:rsidRPr="003B37F4">
        <w:rPr>
          <w:rFonts w:asciiTheme="majorHAnsi" w:eastAsiaTheme="majorEastAsia" w:hAnsiTheme="majorHAnsi" w:cstheme="majorBidi"/>
          <w:b/>
          <w:bCs/>
          <w:color w:val="365F91" w:themeColor="accent1" w:themeShade="BF"/>
          <w:sz w:val="28"/>
          <w:szCs w:val="28"/>
        </w:rPr>
        <w:fldChar w:fldCharType="begin"/>
      </w:r>
      <w:r w:rsidR="002055FE" w:rsidRPr="003B37F4">
        <w:rPr>
          <w:rFonts w:asciiTheme="majorHAnsi" w:eastAsiaTheme="majorEastAsia" w:hAnsiTheme="majorHAnsi" w:cstheme="majorBidi"/>
          <w:b/>
          <w:bCs/>
          <w:color w:val="365F91" w:themeColor="accent1" w:themeShade="BF"/>
          <w:sz w:val="28"/>
          <w:szCs w:val="28"/>
        </w:rPr>
        <w:instrText xml:space="preserve"> TOC \o "1-3" \h \z \u </w:instrText>
      </w:r>
      <w:r w:rsidRPr="003B37F4">
        <w:rPr>
          <w:rFonts w:asciiTheme="majorHAnsi" w:eastAsiaTheme="majorEastAsia" w:hAnsiTheme="majorHAnsi" w:cstheme="majorBidi"/>
          <w:b/>
          <w:bCs/>
          <w:color w:val="365F91" w:themeColor="accent1" w:themeShade="BF"/>
          <w:sz w:val="28"/>
          <w:szCs w:val="28"/>
        </w:rPr>
        <w:fldChar w:fldCharType="separate"/>
      </w:r>
      <w:hyperlink w:anchor="_Toc315938394" w:history="1">
        <w:r w:rsidR="002055FE" w:rsidRPr="003B37F4">
          <w:rPr>
            <w:rStyle w:val="Hyperlink"/>
            <w:noProof/>
          </w:rPr>
          <w:t>MANAGEMENT’S DISCUSSION AND ANALYSIS</w:t>
        </w:r>
        <w:r w:rsidR="002055FE" w:rsidRPr="003B37F4">
          <w:rPr>
            <w:noProof/>
            <w:webHidden/>
          </w:rPr>
          <w:tab/>
        </w:r>
        <w:r w:rsidRPr="003B37F4">
          <w:rPr>
            <w:noProof/>
            <w:webHidden/>
          </w:rPr>
          <w:fldChar w:fldCharType="begin"/>
        </w:r>
        <w:r w:rsidR="002055FE" w:rsidRPr="003B37F4">
          <w:rPr>
            <w:noProof/>
            <w:webHidden/>
          </w:rPr>
          <w:instrText xml:space="preserve"> PAGEREF _Toc315938394 \h </w:instrText>
        </w:r>
        <w:r w:rsidRPr="003B37F4">
          <w:rPr>
            <w:noProof/>
            <w:webHidden/>
          </w:rPr>
        </w:r>
        <w:r w:rsidRPr="003B37F4">
          <w:rPr>
            <w:noProof/>
            <w:webHidden/>
          </w:rPr>
          <w:fldChar w:fldCharType="separate"/>
        </w:r>
        <w:r w:rsidR="003B37F4">
          <w:rPr>
            <w:noProof/>
            <w:webHidden/>
          </w:rPr>
          <w:t>4</w:t>
        </w:r>
        <w:r w:rsidRPr="003B37F4">
          <w:rPr>
            <w:noProof/>
            <w:webHidden/>
          </w:rPr>
          <w:fldChar w:fldCharType="end"/>
        </w:r>
      </w:hyperlink>
    </w:p>
    <w:p w14:paraId="395E88AB" w14:textId="36645929" w:rsidR="002055FE" w:rsidRPr="003B37F4" w:rsidRDefault="00D041C2">
      <w:pPr>
        <w:pStyle w:val="TOC2"/>
        <w:tabs>
          <w:tab w:val="right" w:leader="dot" w:pos="9350"/>
        </w:tabs>
        <w:rPr>
          <w:rFonts w:asciiTheme="minorHAnsi" w:eastAsiaTheme="minorEastAsia" w:hAnsiTheme="minorHAnsi" w:cstheme="minorBidi"/>
          <w:noProof/>
          <w:sz w:val="22"/>
          <w:szCs w:val="22"/>
        </w:rPr>
      </w:pPr>
      <w:hyperlink w:anchor="_Toc315938395" w:history="1">
        <w:r w:rsidR="002055FE" w:rsidRPr="003B37F4">
          <w:rPr>
            <w:rStyle w:val="Hyperlink"/>
            <w:noProof/>
          </w:rPr>
          <w:t>Highlights</w:t>
        </w:r>
        <w:r w:rsidR="002055FE" w:rsidRPr="003B37F4">
          <w:rPr>
            <w:noProof/>
            <w:webHidden/>
          </w:rPr>
          <w:tab/>
        </w:r>
        <w:r w:rsidR="001739F3" w:rsidRPr="003B37F4">
          <w:rPr>
            <w:noProof/>
            <w:webHidden/>
          </w:rPr>
          <w:fldChar w:fldCharType="begin"/>
        </w:r>
        <w:r w:rsidR="002055FE" w:rsidRPr="003B37F4">
          <w:rPr>
            <w:noProof/>
            <w:webHidden/>
          </w:rPr>
          <w:instrText xml:space="preserve"> PAGEREF _Toc315938395 \h </w:instrText>
        </w:r>
        <w:r w:rsidR="001739F3" w:rsidRPr="003B37F4">
          <w:rPr>
            <w:noProof/>
            <w:webHidden/>
          </w:rPr>
        </w:r>
        <w:r w:rsidR="001739F3" w:rsidRPr="003B37F4">
          <w:rPr>
            <w:noProof/>
            <w:webHidden/>
          </w:rPr>
          <w:fldChar w:fldCharType="separate"/>
        </w:r>
        <w:r w:rsidR="003B37F4">
          <w:rPr>
            <w:noProof/>
            <w:webHidden/>
          </w:rPr>
          <w:t>4</w:t>
        </w:r>
        <w:r w:rsidR="001739F3" w:rsidRPr="003B37F4">
          <w:rPr>
            <w:noProof/>
            <w:webHidden/>
          </w:rPr>
          <w:fldChar w:fldCharType="end"/>
        </w:r>
      </w:hyperlink>
    </w:p>
    <w:p w14:paraId="7AADEC86" w14:textId="7070D0F0" w:rsidR="002055FE" w:rsidRPr="003B37F4" w:rsidRDefault="00D041C2">
      <w:pPr>
        <w:pStyle w:val="TOC2"/>
        <w:tabs>
          <w:tab w:val="right" w:leader="dot" w:pos="9350"/>
        </w:tabs>
        <w:rPr>
          <w:rFonts w:asciiTheme="minorHAnsi" w:eastAsiaTheme="minorEastAsia" w:hAnsiTheme="minorHAnsi" w:cstheme="minorBidi"/>
          <w:noProof/>
          <w:sz w:val="22"/>
          <w:szCs w:val="22"/>
        </w:rPr>
      </w:pPr>
      <w:hyperlink w:anchor="_Toc315938396" w:history="1">
        <w:r w:rsidR="002055FE" w:rsidRPr="003B37F4">
          <w:rPr>
            <w:rStyle w:val="Hyperlink"/>
            <w:noProof/>
          </w:rPr>
          <w:t>Using the Basic Financial Statements</w:t>
        </w:r>
        <w:r w:rsidR="002055FE" w:rsidRPr="003B37F4">
          <w:rPr>
            <w:noProof/>
            <w:webHidden/>
          </w:rPr>
          <w:tab/>
        </w:r>
        <w:r w:rsidR="001739F3" w:rsidRPr="003B37F4">
          <w:rPr>
            <w:noProof/>
            <w:webHidden/>
          </w:rPr>
          <w:fldChar w:fldCharType="begin"/>
        </w:r>
        <w:r w:rsidR="002055FE" w:rsidRPr="003B37F4">
          <w:rPr>
            <w:noProof/>
            <w:webHidden/>
          </w:rPr>
          <w:instrText xml:space="preserve"> PAGEREF _Toc315938396 \h </w:instrText>
        </w:r>
        <w:r w:rsidR="001739F3" w:rsidRPr="003B37F4">
          <w:rPr>
            <w:noProof/>
            <w:webHidden/>
          </w:rPr>
        </w:r>
        <w:r w:rsidR="001739F3" w:rsidRPr="003B37F4">
          <w:rPr>
            <w:noProof/>
            <w:webHidden/>
          </w:rPr>
          <w:fldChar w:fldCharType="separate"/>
        </w:r>
        <w:r w:rsidR="003B37F4">
          <w:rPr>
            <w:noProof/>
            <w:webHidden/>
          </w:rPr>
          <w:t>4</w:t>
        </w:r>
        <w:r w:rsidR="001739F3" w:rsidRPr="003B37F4">
          <w:rPr>
            <w:noProof/>
            <w:webHidden/>
          </w:rPr>
          <w:fldChar w:fldCharType="end"/>
        </w:r>
      </w:hyperlink>
    </w:p>
    <w:p w14:paraId="7D57B9CD" w14:textId="7FE43967" w:rsidR="002055FE" w:rsidRPr="003B37F4" w:rsidRDefault="00D041C2">
      <w:pPr>
        <w:pStyle w:val="TOC2"/>
        <w:tabs>
          <w:tab w:val="right" w:leader="dot" w:pos="9350"/>
        </w:tabs>
        <w:rPr>
          <w:rFonts w:asciiTheme="minorHAnsi" w:eastAsiaTheme="minorEastAsia" w:hAnsiTheme="minorHAnsi" w:cstheme="minorBidi"/>
          <w:noProof/>
          <w:sz w:val="22"/>
          <w:szCs w:val="22"/>
        </w:rPr>
      </w:pPr>
      <w:hyperlink w:anchor="_Toc315938397" w:history="1">
        <w:r w:rsidR="002055FE" w:rsidRPr="003B37F4">
          <w:rPr>
            <w:rStyle w:val="Hyperlink"/>
            <w:noProof/>
          </w:rPr>
          <w:t>Report Components</w:t>
        </w:r>
        <w:r w:rsidR="002055FE" w:rsidRPr="003B37F4">
          <w:rPr>
            <w:noProof/>
            <w:webHidden/>
          </w:rPr>
          <w:tab/>
        </w:r>
        <w:r w:rsidR="001739F3" w:rsidRPr="003B37F4">
          <w:rPr>
            <w:noProof/>
            <w:webHidden/>
          </w:rPr>
          <w:fldChar w:fldCharType="begin"/>
        </w:r>
        <w:r w:rsidR="002055FE" w:rsidRPr="003B37F4">
          <w:rPr>
            <w:noProof/>
            <w:webHidden/>
          </w:rPr>
          <w:instrText xml:space="preserve"> PAGEREF _Toc315938397 \h </w:instrText>
        </w:r>
        <w:r w:rsidR="001739F3" w:rsidRPr="003B37F4">
          <w:rPr>
            <w:noProof/>
            <w:webHidden/>
          </w:rPr>
        </w:r>
        <w:r w:rsidR="001739F3" w:rsidRPr="003B37F4">
          <w:rPr>
            <w:noProof/>
            <w:webHidden/>
          </w:rPr>
          <w:fldChar w:fldCharType="separate"/>
        </w:r>
        <w:r w:rsidR="003B37F4">
          <w:rPr>
            <w:noProof/>
            <w:webHidden/>
          </w:rPr>
          <w:t>4</w:t>
        </w:r>
        <w:r w:rsidR="001739F3" w:rsidRPr="003B37F4">
          <w:rPr>
            <w:noProof/>
            <w:webHidden/>
          </w:rPr>
          <w:fldChar w:fldCharType="end"/>
        </w:r>
      </w:hyperlink>
    </w:p>
    <w:p w14:paraId="297FE7AF" w14:textId="1C5E17C1" w:rsidR="002055FE" w:rsidRPr="003B37F4" w:rsidRDefault="00D041C2">
      <w:pPr>
        <w:pStyle w:val="TOC2"/>
        <w:tabs>
          <w:tab w:val="right" w:leader="dot" w:pos="9350"/>
        </w:tabs>
        <w:rPr>
          <w:rFonts w:asciiTheme="minorHAnsi" w:eastAsiaTheme="minorEastAsia" w:hAnsiTheme="minorHAnsi" w:cstheme="minorBidi"/>
          <w:noProof/>
          <w:sz w:val="22"/>
          <w:szCs w:val="22"/>
        </w:rPr>
      </w:pPr>
      <w:hyperlink w:anchor="_Toc315938398" w:history="1">
        <w:r w:rsidR="002055FE" w:rsidRPr="003B37F4">
          <w:rPr>
            <w:rStyle w:val="Hyperlink"/>
            <w:noProof/>
          </w:rPr>
          <w:t>Basis of Accounting</w:t>
        </w:r>
        <w:r w:rsidR="002055FE" w:rsidRPr="003B37F4">
          <w:rPr>
            <w:noProof/>
            <w:webHidden/>
          </w:rPr>
          <w:tab/>
        </w:r>
        <w:r w:rsidR="001739F3" w:rsidRPr="003B37F4">
          <w:rPr>
            <w:noProof/>
            <w:webHidden/>
          </w:rPr>
          <w:fldChar w:fldCharType="begin"/>
        </w:r>
        <w:r w:rsidR="002055FE" w:rsidRPr="003B37F4">
          <w:rPr>
            <w:noProof/>
            <w:webHidden/>
          </w:rPr>
          <w:instrText xml:space="preserve"> PAGEREF _Toc315938398 \h </w:instrText>
        </w:r>
        <w:r w:rsidR="001739F3" w:rsidRPr="003B37F4">
          <w:rPr>
            <w:noProof/>
            <w:webHidden/>
          </w:rPr>
        </w:r>
        <w:r w:rsidR="001739F3" w:rsidRPr="003B37F4">
          <w:rPr>
            <w:noProof/>
            <w:webHidden/>
          </w:rPr>
          <w:fldChar w:fldCharType="separate"/>
        </w:r>
        <w:r w:rsidR="003B37F4">
          <w:rPr>
            <w:noProof/>
            <w:webHidden/>
          </w:rPr>
          <w:t>5</w:t>
        </w:r>
        <w:r w:rsidR="001739F3" w:rsidRPr="003B37F4">
          <w:rPr>
            <w:noProof/>
            <w:webHidden/>
          </w:rPr>
          <w:fldChar w:fldCharType="end"/>
        </w:r>
      </w:hyperlink>
    </w:p>
    <w:p w14:paraId="2AE7E1F1" w14:textId="10211D37" w:rsidR="002055FE" w:rsidRPr="003B37F4" w:rsidRDefault="00D041C2">
      <w:pPr>
        <w:pStyle w:val="TOC2"/>
        <w:tabs>
          <w:tab w:val="right" w:leader="dot" w:pos="9350"/>
        </w:tabs>
        <w:rPr>
          <w:rFonts w:asciiTheme="minorHAnsi" w:eastAsiaTheme="minorEastAsia" w:hAnsiTheme="minorHAnsi" w:cstheme="minorBidi"/>
          <w:noProof/>
          <w:sz w:val="22"/>
          <w:szCs w:val="22"/>
        </w:rPr>
      </w:pPr>
      <w:hyperlink w:anchor="_Toc315938399" w:history="1">
        <w:r w:rsidR="002055FE" w:rsidRPr="003B37F4">
          <w:rPr>
            <w:rStyle w:val="Hyperlink"/>
            <w:noProof/>
          </w:rPr>
          <w:t>Reporting the Health District as a Whole</w:t>
        </w:r>
        <w:r w:rsidR="002055FE" w:rsidRPr="003B37F4">
          <w:rPr>
            <w:noProof/>
            <w:webHidden/>
          </w:rPr>
          <w:tab/>
        </w:r>
        <w:r w:rsidR="001739F3" w:rsidRPr="003B37F4">
          <w:rPr>
            <w:noProof/>
            <w:webHidden/>
          </w:rPr>
          <w:fldChar w:fldCharType="begin"/>
        </w:r>
        <w:r w:rsidR="002055FE" w:rsidRPr="003B37F4">
          <w:rPr>
            <w:noProof/>
            <w:webHidden/>
          </w:rPr>
          <w:instrText xml:space="preserve"> PAGEREF _Toc315938399 \h </w:instrText>
        </w:r>
        <w:r w:rsidR="001739F3" w:rsidRPr="003B37F4">
          <w:rPr>
            <w:noProof/>
            <w:webHidden/>
          </w:rPr>
        </w:r>
        <w:r w:rsidR="001739F3" w:rsidRPr="003B37F4">
          <w:rPr>
            <w:noProof/>
            <w:webHidden/>
          </w:rPr>
          <w:fldChar w:fldCharType="separate"/>
        </w:r>
        <w:r w:rsidR="003B37F4">
          <w:rPr>
            <w:noProof/>
            <w:webHidden/>
          </w:rPr>
          <w:t>5</w:t>
        </w:r>
        <w:r w:rsidR="001739F3" w:rsidRPr="003B37F4">
          <w:rPr>
            <w:noProof/>
            <w:webHidden/>
          </w:rPr>
          <w:fldChar w:fldCharType="end"/>
        </w:r>
      </w:hyperlink>
    </w:p>
    <w:p w14:paraId="1CD3AB53" w14:textId="4ED15631" w:rsidR="002055FE" w:rsidRPr="003B37F4" w:rsidRDefault="00D041C2">
      <w:pPr>
        <w:pStyle w:val="TOC2"/>
        <w:tabs>
          <w:tab w:val="right" w:leader="dot" w:pos="9350"/>
        </w:tabs>
        <w:rPr>
          <w:rFonts w:asciiTheme="minorHAnsi" w:eastAsiaTheme="minorEastAsia" w:hAnsiTheme="minorHAnsi" w:cstheme="minorBidi"/>
          <w:noProof/>
          <w:sz w:val="22"/>
          <w:szCs w:val="22"/>
        </w:rPr>
      </w:pPr>
      <w:hyperlink w:anchor="_Toc315938400" w:history="1">
        <w:r w:rsidR="002055FE" w:rsidRPr="003B37F4">
          <w:rPr>
            <w:rStyle w:val="Hyperlink"/>
            <w:noProof/>
          </w:rPr>
          <w:t>Reporting the District’s Most Significant Funds</w:t>
        </w:r>
        <w:r w:rsidR="002055FE" w:rsidRPr="003B37F4">
          <w:rPr>
            <w:noProof/>
            <w:webHidden/>
          </w:rPr>
          <w:tab/>
        </w:r>
        <w:r w:rsidR="001739F3" w:rsidRPr="003B37F4">
          <w:rPr>
            <w:noProof/>
            <w:webHidden/>
          </w:rPr>
          <w:fldChar w:fldCharType="begin"/>
        </w:r>
        <w:r w:rsidR="002055FE" w:rsidRPr="003B37F4">
          <w:rPr>
            <w:noProof/>
            <w:webHidden/>
          </w:rPr>
          <w:instrText xml:space="preserve"> PAGEREF _Toc315938400 \h </w:instrText>
        </w:r>
        <w:r w:rsidR="001739F3" w:rsidRPr="003B37F4">
          <w:rPr>
            <w:noProof/>
            <w:webHidden/>
          </w:rPr>
        </w:r>
        <w:r w:rsidR="001739F3" w:rsidRPr="003B37F4">
          <w:rPr>
            <w:noProof/>
            <w:webHidden/>
          </w:rPr>
          <w:fldChar w:fldCharType="separate"/>
        </w:r>
        <w:r w:rsidR="003B37F4">
          <w:rPr>
            <w:noProof/>
            <w:webHidden/>
          </w:rPr>
          <w:t>6</w:t>
        </w:r>
        <w:r w:rsidR="001739F3" w:rsidRPr="003B37F4">
          <w:rPr>
            <w:noProof/>
            <w:webHidden/>
          </w:rPr>
          <w:fldChar w:fldCharType="end"/>
        </w:r>
      </w:hyperlink>
    </w:p>
    <w:p w14:paraId="7F6061A5" w14:textId="08094A5C" w:rsidR="002055FE" w:rsidRPr="003B37F4" w:rsidRDefault="00D041C2">
      <w:pPr>
        <w:pStyle w:val="TOC2"/>
        <w:tabs>
          <w:tab w:val="right" w:leader="dot" w:pos="9350"/>
        </w:tabs>
        <w:rPr>
          <w:rFonts w:asciiTheme="minorHAnsi" w:eastAsiaTheme="minorEastAsia" w:hAnsiTheme="minorHAnsi" w:cstheme="minorBidi"/>
          <w:noProof/>
          <w:sz w:val="22"/>
          <w:szCs w:val="22"/>
        </w:rPr>
      </w:pPr>
      <w:hyperlink w:anchor="_Toc315938401" w:history="1">
        <w:r w:rsidR="002055FE" w:rsidRPr="003B37F4">
          <w:rPr>
            <w:rStyle w:val="Hyperlink"/>
            <w:noProof/>
          </w:rPr>
          <w:t>The Health District as a Whole</w:t>
        </w:r>
        <w:r w:rsidR="002055FE" w:rsidRPr="003B37F4">
          <w:rPr>
            <w:noProof/>
            <w:webHidden/>
          </w:rPr>
          <w:tab/>
        </w:r>
        <w:r w:rsidR="001739F3" w:rsidRPr="003B37F4">
          <w:rPr>
            <w:noProof/>
            <w:webHidden/>
          </w:rPr>
          <w:fldChar w:fldCharType="begin"/>
        </w:r>
        <w:r w:rsidR="002055FE" w:rsidRPr="003B37F4">
          <w:rPr>
            <w:noProof/>
            <w:webHidden/>
          </w:rPr>
          <w:instrText xml:space="preserve"> PAGEREF _Toc315938401 \h </w:instrText>
        </w:r>
        <w:r w:rsidR="001739F3" w:rsidRPr="003B37F4">
          <w:rPr>
            <w:noProof/>
            <w:webHidden/>
          </w:rPr>
        </w:r>
        <w:r w:rsidR="001739F3" w:rsidRPr="003B37F4">
          <w:rPr>
            <w:noProof/>
            <w:webHidden/>
          </w:rPr>
          <w:fldChar w:fldCharType="separate"/>
        </w:r>
        <w:r w:rsidR="003B37F4">
          <w:rPr>
            <w:noProof/>
            <w:webHidden/>
          </w:rPr>
          <w:t>6</w:t>
        </w:r>
        <w:r w:rsidR="001739F3" w:rsidRPr="003B37F4">
          <w:rPr>
            <w:noProof/>
            <w:webHidden/>
          </w:rPr>
          <w:fldChar w:fldCharType="end"/>
        </w:r>
      </w:hyperlink>
    </w:p>
    <w:p w14:paraId="2F8EF69F" w14:textId="434BAD6B" w:rsidR="002055FE" w:rsidRPr="003B37F4" w:rsidRDefault="00D041C2">
      <w:pPr>
        <w:pStyle w:val="TOC3"/>
        <w:tabs>
          <w:tab w:val="right" w:leader="dot" w:pos="9350"/>
        </w:tabs>
        <w:rPr>
          <w:rFonts w:asciiTheme="minorHAnsi" w:eastAsiaTheme="minorEastAsia" w:hAnsiTheme="minorHAnsi" w:cstheme="minorBidi"/>
          <w:noProof/>
          <w:sz w:val="22"/>
          <w:szCs w:val="22"/>
        </w:rPr>
      </w:pPr>
      <w:hyperlink w:anchor="_Toc315938402" w:history="1">
        <w:r w:rsidR="002055FE" w:rsidRPr="003B37F4">
          <w:rPr>
            <w:rStyle w:val="Hyperlink"/>
            <w:noProof/>
          </w:rPr>
          <w:t>Table 1 Net Assets</w:t>
        </w:r>
        <w:r w:rsidR="002055FE" w:rsidRPr="003B37F4">
          <w:rPr>
            <w:noProof/>
            <w:webHidden/>
          </w:rPr>
          <w:tab/>
        </w:r>
        <w:r w:rsidR="001739F3" w:rsidRPr="003B37F4">
          <w:rPr>
            <w:noProof/>
            <w:webHidden/>
          </w:rPr>
          <w:fldChar w:fldCharType="begin"/>
        </w:r>
        <w:r w:rsidR="002055FE" w:rsidRPr="003B37F4">
          <w:rPr>
            <w:noProof/>
            <w:webHidden/>
          </w:rPr>
          <w:instrText xml:space="preserve"> PAGEREF _Toc315938402 \h </w:instrText>
        </w:r>
        <w:r w:rsidR="001739F3" w:rsidRPr="003B37F4">
          <w:rPr>
            <w:noProof/>
            <w:webHidden/>
          </w:rPr>
        </w:r>
        <w:r w:rsidR="001739F3" w:rsidRPr="003B37F4">
          <w:rPr>
            <w:noProof/>
            <w:webHidden/>
          </w:rPr>
          <w:fldChar w:fldCharType="separate"/>
        </w:r>
        <w:r w:rsidR="003B37F4">
          <w:rPr>
            <w:noProof/>
            <w:webHidden/>
          </w:rPr>
          <w:t>6</w:t>
        </w:r>
        <w:r w:rsidR="001739F3" w:rsidRPr="003B37F4">
          <w:rPr>
            <w:noProof/>
            <w:webHidden/>
          </w:rPr>
          <w:fldChar w:fldCharType="end"/>
        </w:r>
      </w:hyperlink>
    </w:p>
    <w:p w14:paraId="1A97F905" w14:textId="77777777" w:rsidR="002055FE" w:rsidRPr="003B37F4" w:rsidRDefault="00D041C2">
      <w:pPr>
        <w:pStyle w:val="TOC3"/>
        <w:tabs>
          <w:tab w:val="right" w:leader="dot" w:pos="9350"/>
        </w:tabs>
        <w:rPr>
          <w:rFonts w:asciiTheme="minorHAnsi" w:eastAsiaTheme="minorEastAsia" w:hAnsiTheme="minorHAnsi" w:cstheme="minorBidi"/>
          <w:noProof/>
          <w:sz w:val="22"/>
          <w:szCs w:val="22"/>
        </w:rPr>
      </w:pPr>
      <w:hyperlink w:anchor="_Toc315938403" w:history="1">
        <w:r w:rsidR="002055FE" w:rsidRPr="003B37F4">
          <w:rPr>
            <w:rStyle w:val="Hyperlink"/>
            <w:noProof/>
          </w:rPr>
          <w:t>Table 2 Change In Net Assets</w:t>
        </w:r>
        <w:r w:rsidR="002055FE" w:rsidRPr="003B37F4">
          <w:rPr>
            <w:noProof/>
            <w:webHidden/>
          </w:rPr>
          <w:tab/>
        </w:r>
        <w:r w:rsidR="005F64BB" w:rsidRPr="003B37F4">
          <w:rPr>
            <w:noProof/>
            <w:webHidden/>
          </w:rPr>
          <w:t>7</w:t>
        </w:r>
      </w:hyperlink>
    </w:p>
    <w:p w14:paraId="533904B0" w14:textId="035F28EF" w:rsidR="002055FE" w:rsidRPr="003B37F4" w:rsidRDefault="00D041C2">
      <w:pPr>
        <w:pStyle w:val="TOC2"/>
        <w:tabs>
          <w:tab w:val="right" w:leader="dot" w:pos="9350"/>
        </w:tabs>
        <w:rPr>
          <w:rFonts w:asciiTheme="minorHAnsi" w:eastAsiaTheme="minorEastAsia" w:hAnsiTheme="minorHAnsi" w:cstheme="minorBidi"/>
          <w:noProof/>
          <w:sz w:val="22"/>
          <w:szCs w:val="22"/>
        </w:rPr>
      </w:pPr>
      <w:hyperlink w:anchor="_Toc315938404" w:history="1">
        <w:r w:rsidR="002055FE" w:rsidRPr="003B37F4">
          <w:rPr>
            <w:rStyle w:val="Hyperlink"/>
            <w:noProof/>
          </w:rPr>
          <w:t>Governmental Activities</w:t>
        </w:r>
        <w:r w:rsidR="002055FE" w:rsidRPr="003B37F4">
          <w:rPr>
            <w:noProof/>
            <w:webHidden/>
          </w:rPr>
          <w:tab/>
        </w:r>
        <w:r w:rsidR="001739F3" w:rsidRPr="003B37F4">
          <w:rPr>
            <w:noProof/>
            <w:webHidden/>
          </w:rPr>
          <w:fldChar w:fldCharType="begin"/>
        </w:r>
        <w:r w:rsidR="002055FE" w:rsidRPr="003B37F4">
          <w:rPr>
            <w:noProof/>
            <w:webHidden/>
          </w:rPr>
          <w:instrText xml:space="preserve"> PAGEREF _Toc315938404 \h </w:instrText>
        </w:r>
        <w:r w:rsidR="001739F3" w:rsidRPr="003B37F4">
          <w:rPr>
            <w:noProof/>
            <w:webHidden/>
          </w:rPr>
        </w:r>
        <w:r w:rsidR="001739F3" w:rsidRPr="003B37F4">
          <w:rPr>
            <w:noProof/>
            <w:webHidden/>
          </w:rPr>
          <w:fldChar w:fldCharType="separate"/>
        </w:r>
        <w:r w:rsidR="003B37F4">
          <w:rPr>
            <w:noProof/>
            <w:webHidden/>
          </w:rPr>
          <w:t>9</w:t>
        </w:r>
        <w:r w:rsidR="001739F3" w:rsidRPr="003B37F4">
          <w:rPr>
            <w:noProof/>
            <w:webHidden/>
          </w:rPr>
          <w:fldChar w:fldCharType="end"/>
        </w:r>
      </w:hyperlink>
    </w:p>
    <w:p w14:paraId="4D75C5E7" w14:textId="6F8E609F" w:rsidR="002055FE" w:rsidRPr="003B37F4" w:rsidRDefault="00D041C2">
      <w:pPr>
        <w:pStyle w:val="TOC3"/>
        <w:tabs>
          <w:tab w:val="right" w:leader="dot" w:pos="9350"/>
        </w:tabs>
        <w:rPr>
          <w:rFonts w:asciiTheme="minorHAnsi" w:eastAsiaTheme="minorEastAsia" w:hAnsiTheme="minorHAnsi" w:cstheme="minorBidi"/>
          <w:noProof/>
          <w:sz w:val="22"/>
          <w:szCs w:val="22"/>
        </w:rPr>
      </w:pPr>
      <w:hyperlink w:anchor="_Toc315938405" w:history="1">
        <w:r w:rsidR="002055FE" w:rsidRPr="003B37F4">
          <w:rPr>
            <w:rStyle w:val="Hyperlink"/>
            <w:noProof/>
          </w:rPr>
          <w:t>Table 3 Net Cost of Services</w:t>
        </w:r>
        <w:r w:rsidR="002055FE" w:rsidRPr="003B37F4">
          <w:rPr>
            <w:noProof/>
            <w:webHidden/>
          </w:rPr>
          <w:tab/>
        </w:r>
        <w:r w:rsidR="001739F3" w:rsidRPr="003B37F4">
          <w:rPr>
            <w:noProof/>
            <w:webHidden/>
          </w:rPr>
          <w:fldChar w:fldCharType="begin"/>
        </w:r>
        <w:r w:rsidR="002055FE" w:rsidRPr="003B37F4">
          <w:rPr>
            <w:noProof/>
            <w:webHidden/>
          </w:rPr>
          <w:instrText xml:space="preserve"> PAGEREF _Toc315938405 \h </w:instrText>
        </w:r>
        <w:r w:rsidR="001739F3" w:rsidRPr="003B37F4">
          <w:rPr>
            <w:noProof/>
            <w:webHidden/>
          </w:rPr>
        </w:r>
        <w:r w:rsidR="001739F3" w:rsidRPr="003B37F4">
          <w:rPr>
            <w:noProof/>
            <w:webHidden/>
          </w:rPr>
          <w:fldChar w:fldCharType="separate"/>
        </w:r>
        <w:r w:rsidR="003B37F4">
          <w:rPr>
            <w:noProof/>
            <w:webHidden/>
          </w:rPr>
          <w:t>10</w:t>
        </w:r>
        <w:r w:rsidR="001739F3" w:rsidRPr="003B37F4">
          <w:rPr>
            <w:noProof/>
            <w:webHidden/>
          </w:rPr>
          <w:fldChar w:fldCharType="end"/>
        </w:r>
      </w:hyperlink>
    </w:p>
    <w:p w14:paraId="3A361353" w14:textId="41CA6546" w:rsidR="002055FE" w:rsidRPr="003B37F4" w:rsidRDefault="00D041C2">
      <w:pPr>
        <w:pStyle w:val="TOC2"/>
        <w:tabs>
          <w:tab w:val="right" w:leader="dot" w:pos="9350"/>
        </w:tabs>
        <w:rPr>
          <w:rFonts w:asciiTheme="minorHAnsi" w:eastAsiaTheme="minorEastAsia" w:hAnsiTheme="minorHAnsi" w:cstheme="minorBidi"/>
          <w:noProof/>
          <w:sz w:val="22"/>
          <w:szCs w:val="22"/>
        </w:rPr>
      </w:pPr>
      <w:hyperlink w:anchor="_Toc315938406" w:history="1">
        <w:r w:rsidR="002055FE" w:rsidRPr="003B37F4">
          <w:rPr>
            <w:rStyle w:val="Hyperlink"/>
            <w:noProof/>
          </w:rPr>
          <w:t>The Health District’s Funds</w:t>
        </w:r>
        <w:r w:rsidR="002055FE" w:rsidRPr="003B37F4">
          <w:rPr>
            <w:noProof/>
            <w:webHidden/>
          </w:rPr>
          <w:tab/>
        </w:r>
        <w:r w:rsidR="001739F3" w:rsidRPr="003B37F4">
          <w:rPr>
            <w:noProof/>
            <w:webHidden/>
          </w:rPr>
          <w:fldChar w:fldCharType="begin"/>
        </w:r>
        <w:r w:rsidR="002055FE" w:rsidRPr="003B37F4">
          <w:rPr>
            <w:noProof/>
            <w:webHidden/>
          </w:rPr>
          <w:instrText xml:space="preserve"> PAGEREF _Toc315938406 \h </w:instrText>
        </w:r>
        <w:r w:rsidR="001739F3" w:rsidRPr="003B37F4">
          <w:rPr>
            <w:noProof/>
            <w:webHidden/>
          </w:rPr>
        </w:r>
        <w:r w:rsidR="001739F3" w:rsidRPr="003B37F4">
          <w:rPr>
            <w:noProof/>
            <w:webHidden/>
          </w:rPr>
          <w:fldChar w:fldCharType="separate"/>
        </w:r>
        <w:r w:rsidR="003B37F4">
          <w:rPr>
            <w:noProof/>
            <w:webHidden/>
          </w:rPr>
          <w:t>10</w:t>
        </w:r>
        <w:r w:rsidR="001739F3" w:rsidRPr="003B37F4">
          <w:rPr>
            <w:noProof/>
            <w:webHidden/>
          </w:rPr>
          <w:fldChar w:fldCharType="end"/>
        </w:r>
      </w:hyperlink>
    </w:p>
    <w:p w14:paraId="479019EA" w14:textId="55F0D387" w:rsidR="002055FE" w:rsidRPr="003B37F4" w:rsidRDefault="00D041C2">
      <w:pPr>
        <w:pStyle w:val="TOC2"/>
        <w:tabs>
          <w:tab w:val="right" w:leader="dot" w:pos="9350"/>
        </w:tabs>
        <w:rPr>
          <w:rFonts w:asciiTheme="minorHAnsi" w:eastAsiaTheme="minorEastAsia" w:hAnsiTheme="minorHAnsi" w:cstheme="minorBidi"/>
          <w:noProof/>
          <w:sz w:val="22"/>
          <w:szCs w:val="22"/>
        </w:rPr>
      </w:pPr>
      <w:hyperlink w:anchor="_Toc315938407" w:history="1">
        <w:r w:rsidR="002055FE" w:rsidRPr="003B37F4">
          <w:rPr>
            <w:rStyle w:val="Hyperlink"/>
            <w:noProof/>
          </w:rPr>
          <w:t>General Fund Budgeting Highlights</w:t>
        </w:r>
        <w:r w:rsidR="002055FE" w:rsidRPr="003B37F4">
          <w:rPr>
            <w:noProof/>
            <w:webHidden/>
          </w:rPr>
          <w:tab/>
        </w:r>
        <w:r w:rsidR="001739F3" w:rsidRPr="003B37F4">
          <w:rPr>
            <w:noProof/>
            <w:webHidden/>
          </w:rPr>
          <w:fldChar w:fldCharType="begin"/>
        </w:r>
        <w:r w:rsidR="002055FE" w:rsidRPr="003B37F4">
          <w:rPr>
            <w:noProof/>
            <w:webHidden/>
          </w:rPr>
          <w:instrText xml:space="preserve"> PAGEREF _Toc315938407 \h </w:instrText>
        </w:r>
        <w:r w:rsidR="001739F3" w:rsidRPr="003B37F4">
          <w:rPr>
            <w:noProof/>
            <w:webHidden/>
          </w:rPr>
        </w:r>
        <w:r w:rsidR="001739F3" w:rsidRPr="003B37F4">
          <w:rPr>
            <w:noProof/>
            <w:webHidden/>
          </w:rPr>
          <w:fldChar w:fldCharType="separate"/>
        </w:r>
        <w:r w:rsidR="003B37F4">
          <w:rPr>
            <w:noProof/>
            <w:webHidden/>
          </w:rPr>
          <w:t>11</w:t>
        </w:r>
        <w:r w:rsidR="001739F3" w:rsidRPr="003B37F4">
          <w:rPr>
            <w:noProof/>
            <w:webHidden/>
          </w:rPr>
          <w:fldChar w:fldCharType="end"/>
        </w:r>
      </w:hyperlink>
    </w:p>
    <w:p w14:paraId="7E3EF9C6" w14:textId="115E0668" w:rsidR="002055FE" w:rsidRPr="003B37F4" w:rsidRDefault="00D041C2">
      <w:pPr>
        <w:pStyle w:val="TOC2"/>
        <w:tabs>
          <w:tab w:val="right" w:leader="dot" w:pos="9350"/>
        </w:tabs>
        <w:rPr>
          <w:rFonts w:asciiTheme="minorHAnsi" w:eastAsiaTheme="minorEastAsia" w:hAnsiTheme="minorHAnsi" w:cstheme="minorBidi"/>
          <w:noProof/>
          <w:sz w:val="22"/>
          <w:szCs w:val="22"/>
        </w:rPr>
      </w:pPr>
      <w:hyperlink w:anchor="_Toc315938408" w:history="1">
        <w:r w:rsidR="002055FE" w:rsidRPr="003B37F4">
          <w:rPr>
            <w:rStyle w:val="Hyperlink"/>
            <w:noProof/>
          </w:rPr>
          <w:t>Capital Assets</w:t>
        </w:r>
        <w:r w:rsidR="002055FE" w:rsidRPr="003B37F4">
          <w:rPr>
            <w:noProof/>
            <w:webHidden/>
          </w:rPr>
          <w:tab/>
        </w:r>
        <w:r w:rsidR="001739F3" w:rsidRPr="003B37F4">
          <w:rPr>
            <w:noProof/>
            <w:webHidden/>
          </w:rPr>
          <w:fldChar w:fldCharType="begin"/>
        </w:r>
        <w:r w:rsidR="002055FE" w:rsidRPr="003B37F4">
          <w:rPr>
            <w:noProof/>
            <w:webHidden/>
          </w:rPr>
          <w:instrText xml:space="preserve"> PAGEREF _Toc315938408 \h </w:instrText>
        </w:r>
        <w:r w:rsidR="001739F3" w:rsidRPr="003B37F4">
          <w:rPr>
            <w:noProof/>
            <w:webHidden/>
          </w:rPr>
        </w:r>
        <w:r w:rsidR="001739F3" w:rsidRPr="003B37F4">
          <w:rPr>
            <w:noProof/>
            <w:webHidden/>
          </w:rPr>
          <w:fldChar w:fldCharType="separate"/>
        </w:r>
        <w:r w:rsidR="003B37F4">
          <w:rPr>
            <w:noProof/>
            <w:webHidden/>
          </w:rPr>
          <w:t>11</w:t>
        </w:r>
        <w:r w:rsidR="001739F3" w:rsidRPr="003B37F4">
          <w:rPr>
            <w:noProof/>
            <w:webHidden/>
          </w:rPr>
          <w:fldChar w:fldCharType="end"/>
        </w:r>
      </w:hyperlink>
    </w:p>
    <w:p w14:paraId="510123FB" w14:textId="3053FB0D" w:rsidR="002055FE" w:rsidRPr="003B37F4" w:rsidRDefault="00D041C2">
      <w:pPr>
        <w:pStyle w:val="TOC2"/>
        <w:tabs>
          <w:tab w:val="right" w:leader="dot" w:pos="9350"/>
        </w:tabs>
        <w:rPr>
          <w:rFonts w:asciiTheme="minorHAnsi" w:eastAsiaTheme="minorEastAsia" w:hAnsiTheme="minorHAnsi" w:cstheme="minorBidi"/>
          <w:noProof/>
          <w:sz w:val="22"/>
          <w:szCs w:val="22"/>
        </w:rPr>
      </w:pPr>
      <w:hyperlink w:anchor="_Toc315938409" w:history="1">
        <w:r w:rsidR="002055FE" w:rsidRPr="003B37F4">
          <w:rPr>
            <w:rStyle w:val="Hyperlink"/>
            <w:noProof/>
          </w:rPr>
          <w:t>Debt</w:t>
        </w:r>
        <w:r w:rsidR="002055FE" w:rsidRPr="003B37F4">
          <w:rPr>
            <w:noProof/>
            <w:webHidden/>
          </w:rPr>
          <w:tab/>
        </w:r>
        <w:r w:rsidR="001739F3" w:rsidRPr="003B37F4">
          <w:rPr>
            <w:noProof/>
            <w:webHidden/>
          </w:rPr>
          <w:fldChar w:fldCharType="begin"/>
        </w:r>
        <w:r w:rsidR="002055FE" w:rsidRPr="003B37F4">
          <w:rPr>
            <w:noProof/>
            <w:webHidden/>
          </w:rPr>
          <w:instrText xml:space="preserve"> PAGEREF _Toc315938409 \h </w:instrText>
        </w:r>
        <w:r w:rsidR="001739F3" w:rsidRPr="003B37F4">
          <w:rPr>
            <w:noProof/>
            <w:webHidden/>
          </w:rPr>
        </w:r>
        <w:r w:rsidR="001739F3" w:rsidRPr="003B37F4">
          <w:rPr>
            <w:noProof/>
            <w:webHidden/>
          </w:rPr>
          <w:fldChar w:fldCharType="separate"/>
        </w:r>
        <w:r w:rsidR="003B37F4">
          <w:rPr>
            <w:noProof/>
            <w:webHidden/>
          </w:rPr>
          <w:t>11</w:t>
        </w:r>
        <w:r w:rsidR="001739F3" w:rsidRPr="003B37F4">
          <w:rPr>
            <w:noProof/>
            <w:webHidden/>
          </w:rPr>
          <w:fldChar w:fldCharType="end"/>
        </w:r>
      </w:hyperlink>
    </w:p>
    <w:p w14:paraId="33CE222F" w14:textId="595171C0" w:rsidR="002055FE" w:rsidRPr="003B37F4" w:rsidRDefault="00D041C2">
      <w:pPr>
        <w:pStyle w:val="TOC2"/>
        <w:tabs>
          <w:tab w:val="right" w:leader="dot" w:pos="9350"/>
        </w:tabs>
        <w:rPr>
          <w:rFonts w:asciiTheme="minorHAnsi" w:eastAsiaTheme="minorEastAsia" w:hAnsiTheme="minorHAnsi" w:cstheme="minorBidi"/>
          <w:noProof/>
          <w:sz w:val="22"/>
          <w:szCs w:val="22"/>
        </w:rPr>
      </w:pPr>
      <w:hyperlink w:anchor="_Toc315938410" w:history="1">
        <w:r w:rsidR="002055FE" w:rsidRPr="003B37F4">
          <w:rPr>
            <w:rStyle w:val="Hyperlink"/>
            <w:noProof/>
          </w:rPr>
          <w:t>Current Issues</w:t>
        </w:r>
        <w:r w:rsidR="002055FE" w:rsidRPr="003B37F4">
          <w:rPr>
            <w:noProof/>
            <w:webHidden/>
          </w:rPr>
          <w:tab/>
        </w:r>
        <w:r w:rsidR="001739F3" w:rsidRPr="003B37F4">
          <w:rPr>
            <w:noProof/>
            <w:webHidden/>
          </w:rPr>
          <w:fldChar w:fldCharType="begin"/>
        </w:r>
        <w:r w:rsidR="002055FE" w:rsidRPr="003B37F4">
          <w:rPr>
            <w:noProof/>
            <w:webHidden/>
          </w:rPr>
          <w:instrText xml:space="preserve"> PAGEREF _Toc315938410 \h </w:instrText>
        </w:r>
        <w:r w:rsidR="001739F3" w:rsidRPr="003B37F4">
          <w:rPr>
            <w:noProof/>
            <w:webHidden/>
          </w:rPr>
        </w:r>
        <w:r w:rsidR="001739F3" w:rsidRPr="003B37F4">
          <w:rPr>
            <w:noProof/>
            <w:webHidden/>
          </w:rPr>
          <w:fldChar w:fldCharType="separate"/>
        </w:r>
        <w:r w:rsidR="003B37F4">
          <w:rPr>
            <w:noProof/>
            <w:webHidden/>
          </w:rPr>
          <w:t>11</w:t>
        </w:r>
        <w:r w:rsidR="001739F3" w:rsidRPr="003B37F4">
          <w:rPr>
            <w:noProof/>
            <w:webHidden/>
          </w:rPr>
          <w:fldChar w:fldCharType="end"/>
        </w:r>
      </w:hyperlink>
    </w:p>
    <w:p w14:paraId="0602424A" w14:textId="38F87A7C" w:rsidR="002055FE" w:rsidRPr="003B37F4" w:rsidRDefault="00D041C2">
      <w:pPr>
        <w:pStyle w:val="TOC2"/>
        <w:tabs>
          <w:tab w:val="right" w:leader="dot" w:pos="9350"/>
        </w:tabs>
        <w:rPr>
          <w:rFonts w:asciiTheme="minorHAnsi" w:eastAsiaTheme="minorEastAsia" w:hAnsiTheme="minorHAnsi" w:cstheme="minorBidi"/>
          <w:noProof/>
          <w:sz w:val="22"/>
          <w:szCs w:val="22"/>
        </w:rPr>
      </w:pPr>
      <w:hyperlink w:anchor="_Toc315938411" w:history="1">
        <w:r w:rsidR="002055FE" w:rsidRPr="003B37F4">
          <w:rPr>
            <w:rStyle w:val="Hyperlink"/>
            <w:noProof/>
          </w:rPr>
          <w:t>Contacting the Health District’s Financial Management</w:t>
        </w:r>
        <w:r w:rsidR="002055FE" w:rsidRPr="003B37F4">
          <w:rPr>
            <w:noProof/>
            <w:webHidden/>
          </w:rPr>
          <w:tab/>
        </w:r>
        <w:r w:rsidR="001739F3" w:rsidRPr="003B37F4">
          <w:rPr>
            <w:noProof/>
            <w:webHidden/>
          </w:rPr>
          <w:fldChar w:fldCharType="begin"/>
        </w:r>
        <w:r w:rsidR="002055FE" w:rsidRPr="003B37F4">
          <w:rPr>
            <w:noProof/>
            <w:webHidden/>
          </w:rPr>
          <w:instrText xml:space="preserve"> PAGEREF _Toc315938411 \h </w:instrText>
        </w:r>
        <w:r w:rsidR="001739F3" w:rsidRPr="003B37F4">
          <w:rPr>
            <w:noProof/>
            <w:webHidden/>
          </w:rPr>
        </w:r>
        <w:r w:rsidR="001739F3" w:rsidRPr="003B37F4">
          <w:rPr>
            <w:noProof/>
            <w:webHidden/>
          </w:rPr>
          <w:fldChar w:fldCharType="separate"/>
        </w:r>
        <w:r w:rsidR="003B37F4">
          <w:rPr>
            <w:noProof/>
            <w:webHidden/>
          </w:rPr>
          <w:t>12</w:t>
        </w:r>
        <w:r w:rsidR="001739F3" w:rsidRPr="003B37F4">
          <w:rPr>
            <w:noProof/>
            <w:webHidden/>
          </w:rPr>
          <w:fldChar w:fldCharType="end"/>
        </w:r>
      </w:hyperlink>
    </w:p>
    <w:p w14:paraId="1FB5C2DD" w14:textId="4F4921FA" w:rsidR="002055FE" w:rsidRPr="003B37F4" w:rsidRDefault="00D041C2">
      <w:pPr>
        <w:pStyle w:val="TOC1"/>
        <w:tabs>
          <w:tab w:val="right" w:leader="dot" w:pos="9350"/>
        </w:tabs>
        <w:rPr>
          <w:rFonts w:asciiTheme="minorHAnsi" w:eastAsiaTheme="minorEastAsia" w:hAnsiTheme="minorHAnsi" w:cstheme="minorBidi"/>
          <w:noProof/>
          <w:sz w:val="22"/>
          <w:szCs w:val="22"/>
        </w:rPr>
      </w:pPr>
      <w:hyperlink w:anchor="_Toc315938412" w:history="1">
        <w:r w:rsidR="002055FE" w:rsidRPr="003B37F4">
          <w:rPr>
            <w:rStyle w:val="Hyperlink"/>
            <w:caps/>
            <w:noProof/>
          </w:rPr>
          <w:t>Basic Financial Statements</w:t>
        </w:r>
        <w:r w:rsidR="002055FE" w:rsidRPr="003B37F4">
          <w:rPr>
            <w:noProof/>
            <w:webHidden/>
          </w:rPr>
          <w:tab/>
        </w:r>
        <w:r w:rsidR="001739F3" w:rsidRPr="003B37F4">
          <w:rPr>
            <w:noProof/>
            <w:webHidden/>
          </w:rPr>
          <w:fldChar w:fldCharType="begin"/>
        </w:r>
        <w:r w:rsidR="002055FE" w:rsidRPr="003B37F4">
          <w:rPr>
            <w:noProof/>
            <w:webHidden/>
          </w:rPr>
          <w:instrText xml:space="preserve"> PAGEREF _Toc315938412 \h </w:instrText>
        </w:r>
        <w:r w:rsidR="001739F3" w:rsidRPr="003B37F4">
          <w:rPr>
            <w:noProof/>
            <w:webHidden/>
          </w:rPr>
        </w:r>
        <w:r w:rsidR="001739F3" w:rsidRPr="003B37F4">
          <w:rPr>
            <w:noProof/>
            <w:webHidden/>
          </w:rPr>
          <w:fldChar w:fldCharType="separate"/>
        </w:r>
        <w:r w:rsidR="003B37F4">
          <w:rPr>
            <w:noProof/>
            <w:webHidden/>
          </w:rPr>
          <w:t>13</w:t>
        </w:r>
        <w:r w:rsidR="001739F3" w:rsidRPr="003B37F4">
          <w:rPr>
            <w:noProof/>
            <w:webHidden/>
          </w:rPr>
          <w:fldChar w:fldCharType="end"/>
        </w:r>
      </w:hyperlink>
    </w:p>
    <w:p w14:paraId="1B0151AF" w14:textId="5368234C" w:rsidR="002055FE" w:rsidRPr="003B37F4" w:rsidRDefault="00D041C2">
      <w:pPr>
        <w:pStyle w:val="TOC2"/>
        <w:tabs>
          <w:tab w:val="right" w:leader="dot" w:pos="9350"/>
        </w:tabs>
        <w:rPr>
          <w:rFonts w:asciiTheme="minorHAnsi" w:eastAsiaTheme="minorEastAsia" w:hAnsiTheme="minorHAnsi" w:cstheme="minorBidi"/>
          <w:noProof/>
          <w:sz w:val="22"/>
          <w:szCs w:val="22"/>
        </w:rPr>
      </w:pPr>
      <w:hyperlink w:anchor="_Toc315938413" w:history="1">
        <w:r w:rsidR="002055FE" w:rsidRPr="003B37F4">
          <w:rPr>
            <w:rStyle w:val="Hyperlink"/>
            <w:noProof/>
          </w:rPr>
          <w:t>Statement of Net Assets – Cash Basis</w:t>
        </w:r>
        <w:r w:rsidR="002055FE" w:rsidRPr="003B37F4">
          <w:rPr>
            <w:noProof/>
            <w:webHidden/>
          </w:rPr>
          <w:tab/>
        </w:r>
        <w:r w:rsidR="001739F3" w:rsidRPr="003B37F4">
          <w:rPr>
            <w:noProof/>
            <w:webHidden/>
          </w:rPr>
          <w:fldChar w:fldCharType="begin"/>
        </w:r>
        <w:r w:rsidR="002055FE" w:rsidRPr="003B37F4">
          <w:rPr>
            <w:noProof/>
            <w:webHidden/>
          </w:rPr>
          <w:instrText xml:space="preserve"> PAGEREF _Toc315938413 \h </w:instrText>
        </w:r>
        <w:r w:rsidR="001739F3" w:rsidRPr="003B37F4">
          <w:rPr>
            <w:noProof/>
            <w:webHidden/>
          </w:rPr>
        </w:r>
        <w:r w:rsidR="001739F3" w:rsidRPr="003B37F4">
          <w:rPr>
            <w:noProof/>
            <w:webHidden/>
          </w:rPr>
          <w:fldChar w:fldCharType="separate"/>
        </w:r>
        <w:r w:rsidR="003B37F4">
          <w:rPr>
            <w:noProof/>
            <w:webHidden/>
          </w:rPr>
          <w:t>13</w:t>
        </w:r>
        <w:r w:rsidR="001739F3" w:rsidRPr="003B37F4">
          <w:rPr>
            <w:noProof/>
            <w:webHidden/>
          </w:rPr>
          <w:fldChar w:fldCharType="end"/>
        </w:r>
      </w:hyperlink>
    </w:p>
    <w:p w14:paraId="1CA75F4C" w14:textId="0627A1E1" w:rsidR="002055FE" w:rsidRPr="003B37F4" w:rsidRDefault="00D041C2">
      <w:pPr>
        <w:pStyle w:val="TOC2"/>
        <w:tabs>
          <w:tab w:val="right" w:leader="dot" w:pos="9350"/>
        </w:tabs>
        <w:rPr>
          <w:rFonts w:asciiTheme="minorHAnsi" w:eastAsiaTheme="minorEastAsia" w:hAnsiTheme="minorHAnsi" w:cstheme="minorBidi"/>
          <w:noProof/>
          <w:sz w:val="22"/>
          <w:szCs w:val="22"/>
        </w:rPr>
      </w:pPr>
      <w:hyperlink w:anchor="_Toc315938414" w:history="1">
        <w:r w:rsidR="002055FE" w:rsidRPr="003B37F4">
          <w:rPr>
            <w:rStyle w:val="Hyperlink"/>
            <w:noProof/>
          </w:rPr>
          <w:t>Statement of Activities – Cash Basis</w:t>
        </w:r>
        <w:r w:rsidR="002055FE" w:rsidRPr="003B37F4">
          <w:rPr>
            <w:noProof/>
            <w:webHidden/>
          </w:rPr>
          <w:tab/>
        </w:r>
        <w:r w:rsidR="001739F3" w:rsidRPr="003B37F4">
          <w:rPr>
            <w:noProof/>
            <w:webHidden/>
          </w:rPr>
          <w:fldChar w:fldCharType="begin"/>
        </w:r>
        <w:r w:rsidR="002055FE" w:rsidRPr="003B37F4">
          <w:rPr>
            <w:noProof/>
            <w:webHidden/>
          </w:rPr>
          <w:instrText xml:space="preserve"> PAGEREF _Toc315938414 \h </w:instrText>
        </w:r>
        <w:r w:rsidR="001739F3" w:rsidRPr="003B37F4">
          <w:rPr>
            <w:noProof/>
            <w:webHidden/>
          </w:rPr>
        </w:r>
        <w:r w:rsidR="001739F3" w:rsidRPr="003B37F4">
          <w:rPr>
            <w:noProof/>
            <w:webHidden/>
          </w:rPr>
          <w:fldChar w:fldCharType="separate"/>
        </w:r>
        <w:r w:rsidR="003B37F4">
          <w:rPr>
            <w:noProof/>
            <w:webHidden/>
          </w:rPr>
          <w:t>14</w:t>
        </w:r>
        <w:r w:rsidR="001739F3" w:rsidRPr="003B37F4">
          <w:rPr>
            <w:noProof/>
            <w:webHidden/>
          </w:rPr>
          <w:fldChar w:fldCharType="end"/>
        </w:r>
      </w:hyperlink>
    </w:p>
    <w:p w14:paraId="5BFFAD57" w14:textId="77777777" w:rsidR="002055FE" w:rsidRPr="003B37F4" w:rsidRDefault="00D041C2">
      <w:pPr>
        <w:pStyle w:val="TOC2"/>
        <w:tabs>
          <w:tab w:val="right" w:leader="dot" w:pos="9350"/>
        </w:tabs>
        <w:rPr>
          <w:rFonts w:asciiTheme="minorHAnsi" w:eastAsiaTheme="minorEastAsia" w:hAnsiTheme="minorHAnsi" w:cstheme="minorBidi"/>
          <w:noProof/>
          <w:sz w:val="22"/>
          <w:szCs w:val="22"/>
        </w:rPr>
      </w:pPr>
      <w:hyperlink w:anchor="_Toc315938415" w:history="1">
        <w:r w:rsidR="002055FE" w:rsidRPr="003B37F4">
          <w:rPr>
            <w:rStyle w:val="Hyperlink"/>
            <w:noProof/>
          </w:rPr>
          <w:t>Statement of Cash Basis Assets and Fund Balances</w:t>
        </w:r>
        <w:r w:rsidR="002055FE" w:rsidRPr="003B37F4">
          <w:rPr>
            <w:noProof/>
            <w:webHidden/>
          </w:rPr>
          <w:tab/>
        </w:r>
        <w:r w:rsidR="005F64BB" w:rsidRPr="003B37F4">
          <w:rPr>
            <w:noProof/>
            <w:webHidden/>
          </w:rPr>
          <w:t>15</w:t>
        </w:r>
      </w:hyperlink>
    </w:p>
    <w:p w14:paraId="7AA9CE6D" w14:textId="12AF1019" w:rsidR="002055FE" w:rsidRPr="003B37F4" w:rsidRDefault="00D041C2">
      <w:pPr>
        <w:pStyle w:val="TOC2"/>
        <w:tabs>
          <w:tab w:val="right" w:leader="dot" w:pos="9350"/>
        </w:tabs>
        <w:rPr>
          <w:rFonts w:asciiTheme="minorHAnsi" w:eastAsiaTheme="minorEastAsia" w:hAnsiTheme="minorHAnsi" w:cstheme="minorBidi"/>
          <w:noProof/>
          <w:sz w:val="22"/>
          <w:szCs w:val="22"/>
        </w:rPr>
      </w:pPr>
      <w:hyperlink w:anchor="_Toc315938416" w:history="1">
        <w:r w:rsidR="002055FE" w:rsidRPr="003B37F4">
          <w:rPr>
            <w:rStyle w:val="Hyperlink"/>
            <w:noProof/>
          </w:rPr>
          <w:t>Statement of Cash Receipts, Disbursements, and Changes in Cash Basis Fund Balances –</w:t>
        </w:r>
        <w:r w:rsidR="002055FE" w:rsidRPr="003B37F4">
          <w:rPr>
            <w:noProof/>
            <w:webHidden/>
          </w:rPr>
          <w:tab/>
        </w:r>
        <w:r w:rsidR="001739F3" w:rsidRPr="003B37F4">
          <w:rPr>
            <w:noProof/>
            <w:webHidden/>
          </w:rPr>
          <w:fldChar w:fldCharType="begin"/>
        </w:r>
        <w:r w:rsidR="002055FE" w:rsidRPr="003B37F4">
          <w:rPr>
            <w:noProof/>
            <w:webHidden/>
          </w:rPr>
          <w:instrText xml:space="preserve"> PAGEREF _Toc315938416 \h </w:instrText>
        </w:r>
        <w:r w:rsidR="001739F3" w:rsidRPr="003B37F4">
          <w:rPr>
            <w:noProof/>
            <w:webHidden/>
          </w:rPr>
        </w:r>
        <w:r w:rsidR="001739F3" w:rsidRPr="003B37F4">
          <w:rPr>
            <w:noProof/>
            <w:webHidden/>
          </w:rPr>
          <w:fldChar w:fldCharType="separate"/>
        </w:r>
        <w:r w:rsidR="003B37F4">
          <w:rPr>
            <w:noProof/>
            <w:webHidden/>
          </w:rPr>
          <w:t>16</w:t>
        </w:r>
        <w:r w:rsidR="001739F3" w:rsidRPr="003B37F4">
          <w:rPr>
            <w:noProof/>
            <w:webHidden/>
          </w:rPr>
          <w:fldChar w:fldCharType="end"/>
        </w:r>
      </w:hyperlink>
    </w:p>
    <w:p w14:paraId="5F61140C" w14:textId="00C3E3C9" w:rsidR="002055FE" w:rsidRPr="003B37F4" w:rsidRDefault="00D041C2">
      <w:pPr>
        <w:pStyle w:val="TOC2"/>
        <w:tabs>
          <w:tab w:val="right" w:leader="dot" w:pos="9350"/>
        </w:tabs>
        <w:rPr>
          <w:rFonts w:asciiTheme="minorHAnsi" w:eastAsiaTheme="minorEastAsia" w:hAnsiTheme="minorHAnsi" w:cstheme="minorBidi"/>
          <w:noProof/>
          <w:sz w:val="22"/>
          <w:szCs w:val="22"/>
        </w:rPr>
      </w:pPr>
      <w:hyperlink w:anchor="_Toc315938417" w:history="1">
        <w:r w:rsidR="002055FE" w:rsidRPr="003B37F4">
          <w:rPr>
            <w:rStyle w:val="Hyperlink"/>
            <w:noProof/>
          </w:rPr>
          <w:t>Statement of Receipts, Disbursements, and Changes</w:t>
        </w:r>
        <w:r w:rsidR="002055FE" w:rsidRPr="003B37F4">
          <w:rPr>
            <w:noProof/>
            <w:webHidden/>
          </w:rPr>
          <w:tab/>
        </w:r>
        <w:r w:rsidR="008F091E" w:rsidRPr="003B37F4">
          <w:rPr>
            <w:noProof/>
            <w:webHidden/>
          </w:rPr>
          <w:t>16</w:t>
        </w:r>
      </w:hyperlink>
    </w:p>
    <w:p w14:paraId="2A4AF24B" w14:textId="3CF7865A" w:rsidR="002055FE" w:rsidRPr="003B37F4" w:rsidRDefault="00D041C2">
      <w:pPr>
        <w:pStyle w:val="TOC3"/>
        <w:tabs>
          <w:tab w:val="right" w:leader="dot" w:pos="9350"/>
        </w:tabs>
        <w:rPr>
          <w:rFonts w:asciiTheme="minorHAnsi" w:eastAsiaTheme="minorEastAsia" w:hAnsiTheme="minorHAnsi" w:cstheme="minorBidi"/>
          <w:noProof/>
          <w:sz w:val="22"/>
          <w:szCs w:val="22"/>
        </w:rPr>
      </w:pPr>
      <w:hyperlink w:anchor="_Toc315938418" w:history="1">
        <w:r w:rsidR="002055FE" w:rsidRPr="003B37F4">
          <w:rPr>
            <w:rStyle w:val="Hyperlink"/>
            <w:noProof/>
          </w:rPr>
          <w:t>General Revenue Fund</w:t>
        </w:r>
        <w:r w:rsidR="002055FE" w:rsidRPr="003B37F4">
          <w:rPr>
            <w:noProof/>
            <w:webHidden/>
          </w:rPr>
          <w:tab/>
        </w:r>
        <w:r w:rsidR="001739F3" w:rsidRPr="003B37F4">
          <w:rPr>
            <w:noProof/>
            <w:webHidden/>
          </w:rPr>
          <w:fldChar w:fldCharType="begin"/>
        </w:r>
        <w:r w:rsidR="002055FE" w:rsidRPr="003B37F4">
          <w:rPr>
            <w:noProof/>
            <w:webHidden/>
          </w:rPr>
          <w:instrText xml:space="preserve"> PAGEREF _Toc315938418 \h </w:instrText>
        </w:r>
        <w:r w:rsidR="001739F3" w:rsidRPr="003B37F4">
          <w:rPr>
            <w:noProof/>
            <w:webHidden/>
          </w:rPr>
        </w:r>
        <w:r w:rsidR="001739F3" w:rsidRPr="003B37F4">
          <w:rPr>
            <w:noProof/>
            <w:webHidden/>
          </w:rPr>
          <w:fldChar w:fldCharType="separate"/>
        </w:r>
        <w:r w:rsidR="003B37F4">
          <w:rPr>
            <w:noProof/>
            <w:webHidden/>
          </w:rPr>
          <w:t>18</w:t>
        </w:r>
        <w:r w:rsidR="001739F3" w:rsidRPr="003B37F4">
          <w:rPr>
            <w:noProof/>
            <w:webHidden/>
          </w:rPr>
          <w:fldChar w:fldCharType="end"/>
        </w:r>
      </w:hyperlink>
    </w:p>
    <w:p w14:paraId="183DEA3C" w14:textId="50F59120" w:rsidR="002055FE" w:rsidRPr="003B37F4" w:rsidRDefault="00D041C2">
      <w:pPr>
        <w:pStyle w:val="TOC2"/>
        <w:tabs>
          <w:tab w:val="right" w:leader="dot" w:pos="9350"/>
        </w:tabs>
        <w:rPr>
          <w:rFonts w:asciiTheme="minorHAnsi" w:eastAsiaTheme="minorEastAsia" w:hAnsiTheme="minorHAnsi" w:cstheme="minorBidi"/>
          <w:noProof/>
          <w:sz w:val="22"/>
          <w:szCs w:val="22"/>
        </w:rPr>
      </w:pPr>
      <w:hyperlink w:anchor="_Toc315938423" w:history="1">
        <w:r w:rsidR="002055FE" w:rsidRPr="003B37F4">
          <w:rPr>
            <w:rStyle w:val="Hyperlink"/>
            <w:noProof/>
          </w:rPr>
          <w:t>Statement of Receipts, Disbursements, and Changes</w:t>
        </w:r>
        <w:r w:rsidR="002055FE" w:rsidRPr="003B37F4">
          <w:rPr>
            <w:noProof/>
            <w:webHidden/>
          </w:rPr>
          <w:tab/>
        </w:r>
      </w:hyperlink>
      <w:r w:rsidR="008F091E" w:rsidRPr="003B37F4">
        <w:rPr>
          <w:noProof/>
        </w:rPr>
        <w:t>19</w:t>
      </w:r>
    </w:p>
    <w:p w14:paraId="1A4FC21C" w14:textId="72A2EE9A" w:rsidR="002055FE" w:rsidRPr="003B37F4" w:rsidRDefault="00D041C2">
      <w:pPr>
        <w:pStyle w:val="TOC1"/>
        <w:tabs>
          <w:tab w:val="right" w:leader="dot" w:pos="9350"/>
        </w:tabs>
        <w:rPr>
          <w:rFonts w:asciiTheme="minorHAnsi" w:eastAsiaTheme="minorEastAsia" w:hAnsiTheme="minorHAnsi" w:cstheme="minorBidi"/>
          <w:noProof/>
          <w:sz w:val="22"/>
          <w:szCs w:val="22"/>
        </w:rPr>
      </w:pPr>
      <w:hyperlink w:anchor="_Toc315938425" w:history="1">
        <w:r w:rsidR="002055FE" w:rsidRPr="003B37F4">
          <w:rPr>
            <w:rStyle w:val="Hyperlink"/>
            <w:caps/>
            <w:noProof/>
          </w:rPr>
          <w:t>Notes to the Financial Statements</w:t>
        </w:r>
        <w:r w:rsidR="002055FE" w:rsidRPr="003B37F4">
          <w:rPr>
            <w:noProof/>
            <w:webHidden/>
          </w:rPr>
          <w:tab/>
        </w:r>
        <w:r w:rsidR="001739F3" w:rsidRPr="003B37F4">
          <w:rPr>
            <w:noProof/>
            <w:webHidden/>
          </w:rPr>
          <w:fldChar w:fldCharType="begin"/>
        </w:r>
        <w:r w:rsidR="002055FE" w:rsidRPr="003B37F4">
          <w:rPr>
            <w:noProof/>
            <w:webHidden/>
          </w:rPr>
          <w:instrText xml:space="preserve"> PAGEREF _Toc315938425 \h </w:instrText>
        </w:r>
        <w:r w:rsidR="001739F3" w:rsidRPr="003B37F4">
          <w:rPr>
            <w:noProof/>
            <w:webHidden/>
          </w:rPr>
        </w:r>
        <w:r w:rsidR="001739F3" w:rsidRPr="003B37F4">
          <w:rPr>
            <w:noProof/>
            <w:webHidden/>
          </w:rPr>
          <w:fldChar w:fldCharType="separate"/>
        </w:r>
        <w:r w:rsidR="003B37F4">
          <w:rPr>
            <w:noProof/>
            <w:webHidden/>
          </w:rPr>
          <w:t>19</w:t>
        </w:r>
        <w:r w:rsidR="001739F3" w:rsidRPr="003B37F4">
          <w:rPr>
            <w:noProof/>
            <w:webHidden/>
          </w:rPr>
          <w:fldChar w:fldCharType="end"/>
        </w:r>
      </w:hyperlink>
    </w:p>
    <w:p w14:paraId="00D67C80" w14:textId="2F896866" w:rsidR="002055FE" w:rsidRPr="003B37F4" w:rsidRDefault="00D041C2">
      <w:pPr>
        <w:pStyle w:val="TOC2"/>
        <w:tabs>
          <w:tab w:val="right" w:leader="dot" w:pos="9350"/>
        </w:tabs>
        <w:rPr>
          <w:rFonts w:asciiTheme="minorHAnsi" w:eastAsiaTheme="minorEastAsia" w:hAnsiTheme="minorHAnsi" w:cstheme="minorBidi"/>
          <w:noProof/>
          <w:sz w:val="22"/>
          <w:szCs w:val="22"/>
        </w:rPr>
      </w:pPr>
      <w:hyperlink w:anchor="_Toc315938426" w:history="1">
        <w:r w:rsidR="002055FE" w:rsidRPr="003B37F4">
          <w:rPr>
            <w:rStyle w:val="Hyperlink"/>
            <w:noProof/>
          </w:rPr>
          <w:t>1.     REPORTING ENTITY</w:t>
        </w:r>
        <w:r w:rsidR="002055FE" w:rsidRPr="003B37F4">
          <w:rPr>
            <w:noProof/>
            <w:webHidden/>
          </w:rPr>
          <w:tab/>
        </w:r>
        <w:r w:rsidR="001739F3" w:rsidRPr="003B37F4">
          <w:rPr>
            <w:noProof/>
            <w:webHidden/>
          </w:rPr>
          <w:fldChar w:fldCharType="begin"/>
        </w:r>
        <w:r w:rsidR="002055FE" w:rsidRPr="003B37F4">
          <w:rPr>
            <w:noProof/>
            <w:webHidden/>
          </w:rPr>
          <w:instrText xml:space="preserve"> PAGEREF _Toc315938426 \h </w:instrText>
        </w:r>
        <w:r w:rsidR="001739F3" w:rsidRPr="003B37F4">
          <w:rPr>
            <w:noProof/>
            <w:webHidden/>
          </w:rPr>
        </w:r>
        <w:r w:rsidR="001739F3" w:rsidRPr="003B37F4">
          <w:rPr>
            <w:noProof/>
            <w:webHidden/>
          </w:rPr>
          <w:fldChar w:fldCharType="separate"/>
        </w:r>
        <w:r w:rsidR="003B37F4">
          <w:rPr>
            <w:noProof/>
            <w:webHidden/>
          </w:rPr>
          <w:t>20</w:t>
        </w:r>
        <w:r w:rsidR="001739F3" w:rsidRPr="003B37F4">
          <w:rPr>
            <w:noProof/>
            <w:webHidden/>
          </w:rPr>
          <w:fldChar w:fldCharType="end"/>
        </w:r>
      </w:hyperlink>
    </w:p>
    <w:p w14:paraId="3F72E330" w14:textId="7B7203A4" w:rsidR="002055FE" w:rsidRPr="003B37F4" w:rsidRDefault="00D041C2">
      <w:pPr>
        <w:pStyle w:val="TOC3"/>
        <w:tabs>
          <w:tab w:val="left" w:pos="880"/>
          <w:tab w:val="right" w:leader="dot" w:pos="9350"/>
        </w:tabs>
        <w:rPr>
          <w:rFonts w:asciiTheme="minorHAnsi" w:eastAsiaTheme="minorEastAsia" w:hAnsiTheme="minorHAnsi" w:cstheme="minorBidi"/>
          <w:noProof/>
          <w:sz w:val="22"/>
          <w:szCs w:val="22"/>
        </w:rPr>
      </w:pPr>
      <w:hyperlink w:anchor="_Toc315938427" w:history="1">
        <w:r w:rsidR="002055FE" w:rsidRPr="003B37F4">
          <w:rPr>
            <w:rStyle w:val="Hyperlink"/>
            <w:noProof/>
          </w:rPr>
          <w:t>A.</w:t>
        </w:r>
        <w:r w:rsidR="002055FE" w:rsidRPr="003B37F4">
          <w:rPr>
            <w:rFonts w:asciiTheme="minorHAnsi" w:eastAsiaTheme="minorEastAsia" w:hAnsiTheme="minorHAnsi" w:cstheme="minorBidi"/>
            <w:noProof/>
            <w:sz w:val="22"/>
            <w:szCs w:val="22"/>
          </w:rPr>
          <w:tab/>
        </w:r>
        <w:r w:rsidR="002055FE" w:rsidRPr="003B37F4">
          <w:rPr>
            <w:rStyle w:val="Hyperlink"/>
            <w:noProof/>
          </w:rPr>
          <w:t>Primary Government</w:t>
        </w:r>
        <w:r w:rsidR="002055FE" w:rsidRPr="003B37F4">
          <w:rPr>
            <w:noProof/>
            <w:webHidden/>
          </w:rPr>
          <w:tab/>
        </w:r>
        <w:r w:rsidR="001739F3" w:rsidRPr="003B37F4">
          <w:rPr>
            <w:noProof/>
            <w:webHidden/>
          </w:rPr>
          <w:fldChar w:fldCharType="begin"/>
        </w:r>
        <w:r w:rsidR="002055FE" w:rsidRPr="003B37F4">
          <w:rPr>
            <w:noProof/>
            <w:webHidden/>
          </w:rPr>
          <w:instrText xml:space="preserve"> PAGEREF _Toc315938427 \h </w:instrText>
        </w:r>
        <w:r w:rsidR="001739F3" w:rsidRPr="003B37F4">
          <w:rPr>
            <w:noProof/>
            <w:webHidden/>
          </w:rPr>
        </w:r>
        <w:r w:rsidR="001739F3" w:rsidRPr="003B37F4">
          <w:rPr>
            <w:noProof/>
            <w:webHidden/>
          </w:rPr>
          <w:fldChar w:fldCharType="separate"/>
        </w:r>
        <w:r w:rsidR="003B37F4">
          <w:rPr>
            <w:noProof/>
            <w:webHidden/>
          </w:rPr>
          <w:t>20</w:t>
        </w:r>
        <w:r w:rsidR="001739F3" w:rsidRPr="003B37F4">
          <w:rPr>
            <w:noProof/>
            <w:webHidden/>
          </w:rPr>
          <w:fldChar w:fldCharType="end"/>
        </w:r>
      </w:hyperlink>
    </w:p>
    <w:p w14:paraId="3582741E" w14:textId="5ECF29E3" w:rsidR="002055FE" w:rsidRPr="003B37F4" w:rsidRDefault="00D041C2">
      <w:pPr>
        <w:pStyle w:val="TOC3"/>
        <w:tabs>
          <w:tab w:val="left" w:pos="880"/>
          <w:tab w:val="right" w:leader="dot" w:pos="9350"/>
        </w:tabs>
        <w:rPr>
          <w:rFonts w:asciiTheme="minorHAnsi" w:eastAsiaTheme="minorEastAsia" w:hAnsiTheme="minorHAnsi" w:cstheme="minorBidi"/>
          <w:noProof/>
          <w:sz w:val="22"/>
          <w:szCs w:val="22"/>
        </w:rPr>
      </w:pPr>
      <w:hyperlink w:anchor="_Toc315938428" w:history="1">
        <w:r w:rsidR="002055FE" w:rsidRPr="003B37F4">
          <w:rPr>
            <w:rStyle w:val="Hyperlink"/>
            <w:noProof/>
          </w:rPr>
          <w:t>B.</w:t>
        </w:r>
        <w:r w:rsidR="002055FE" w:rsidRPr="003B37F4">
          <w:rPr>
            <w:rFonts w:asciiTheme="minorHAnsi" w:eastAsiaTheme="minorEastAsia" w:hAnsiTheme="minorHAnsi" w:cstheme="minorBidi"/>
            <w:noProof/>
            <w:sz w:val="22"/>
            <w:szCs w:val="22"/>
          </w:rPr>
          <w:tab/>
        </w:r>
        <w:r w:rsidR="002055FE" w:rsidRPr="003B37F4">
          <w:rPr>
            <w:rStyle w:val="Hyperlink"/>
            <w:noProof/>
          </w:rPr>
          <w:t>Component Units</w:t>
        </w:r>
        <w:r w:rsidR="002055FE" w:rsidRPr="003B37F4">
          <w:rPr>
            <w:noProof/>
            <w:webHidden/>
          </w:rPr>
          <w:tab/>
        </w:r>
        <w:r w:rsidR="001739F3" w:rsidRPr="003B37F4">
          <w:rPr>
            <w:noProof/>
            <w:webHidden/>
          </w:rPr>
          <w:fldChar w:fldCharType="begin"/>
        </w:r>
        <w:r w:rsidR="002055FE" w:rsidRPr="003B37F4">
          <w:rPr>
            <w:noProof/>
            <w:webHidden/>
          </w:rPr>
          <w:instrText xml:space="preserve"> PAGEREF _Toc315938428 \h </w:instrText>
        </w:r>
        <w:r w:rsidR="001739F3" w:rsidRPr="003B37F4">
          <w:rPr>
            <w:noProof/>
            <w:webHidden/>
          </w:rPr>
        </w:r>
        <w:r w:rsidR="001739F3" w:rsidRPr="003B37F4">
          <w:rPr>
            <w:noProof/>
            <w:webHidden/>
          </w:rPr>
          <w:fldChar w:fldCharType="separate"/>
        </w:r>
        <w:r w:rsidR="003B37F4">
          <w:rPr>
            <w:noProof/>
            <w:webHidden/>
          </w:rPr>
          <w:t>20</w:t>
        </w:r>
        <w:r w:rsidR="001739F3" w:rsidRPr="003B37F4">
          <w:rPr>
            <w:noProof/>
            <w:webHidden/>
          </w:rPr>
          <w:fldChar w:fldCharType="end"/>
        </w:r>
      </w:hyperlink>
    </w:p>
    <w:p w14:paraId="68AD735F" w14:textId="6CCDCD2A" w:rsidR="002055FE" w:rsidRPr="003B37F4" w:rsidRDefault="00D041C2">
      <w:pPr>
        <w:pStyle w:val="TOC2"/>
        <w:tabs>
          <w:tab w:val="left" w:pos="660"/>
          <w:tab w:val="right" w:leader="dot" w:pos="9350"/>
        </w:tabs>
        <w:rPr>
          <w:rFonts w:asciiTheme="minorHAnsi" w:eastAsiaTheme="minorEastAsia" w:hAnsiTheme="minorHAnsi" w:cstheme="minorBidi"/>
          <w:noProof/>
          <w:sz w:val="22"/>
          <w:szCs w:val="22"/>
        </w:rPr>
      </w:pPr>
      <w:hyperlink w:anchor="_Toc315938429" w:history="1">
        <w:r w:rsidR="002055FE" w:rsidRPr="003B37F4">
          <w:rPr>
            <w:rStyle w:val="Hyperlink"/>
            <w:noProof/>
          </w:rPr>
          <w:t>2.</w:t>
        </w:r>
        <w:r w:rsidR="002055FE" w:rsidRPr="003B37F4">
          <w:rPr>
            <w:rFonts w:asciiTheme="minorHAnsi" w:eastAsiaTheme="minorEastAsia" w:hAnsiTheme="minorHAnsi" w:cstheme="minorBidi"/>
            <w:noProof/>
            <w:sz w:val="22"/>
            <w:szCs w:val="22"/>
          </w:rPr>
          <w:tab/>
        </w:r>
        <w:r w:rsidR="002055FE" w:rsidRPr="003B37F4">
          <w:rPr>
            <w:rStyle w:val="Hyperlink"/>
            <w:noProof/>
          </w:rPr>
          <w:t>SUMMARY OF SIGNIFICANT ACCOUNTING POLICIES</w:t>
        </w:r>
        <w:r w:rsidR="002055FE" w:rsidRPr="003B37F4">
          <w:rPr>
            <w:noProof/>
            <w:webHidden/>
          </w:rPr>
          <w:tab/>
        </w:r>
        <w:r w:rsidR="001739F3" w:rsidRPr="003B37F4">
          <w:rPr>
            <w:noProof/>
            <w:webHidden/>
          </w:rPr>
          <w:fldChar w:fldCharType="begin"/>
        </w:r>
        <w:r w:rsidR="002055FE" w:rsidRPr="003B37F4">
          <w:rPr>
            <w:noProof/>
            <w:webHidden/>
          </w:rPr>
          <w:instrText xml:space="preserve"> PAGEREF _Toc315938429 \h </w:instrText>
        </w:r>
        <w:r w:rsidR="001739F3" w:rsidRPr="003B37F4">
          <w:rPr>
            <w:noProof/>
            <w:webHidden/>
          </w:rPr>
        </w:r>
        <w:r w:rsidR="001739F3" w:rsidRPr="003B37F4">
          <w:rPr>
            <w:noProof/>
            <w:webHidden/>
          </w:rPr>
          <w:fldChar w:fldCharType="separate"/>
        </w:r>
        <w:r w:rsidR="003B37F4">
          <w:rPr>
            <w:noProof/>
            <w:webHidden/>
          </w:rPr>
          <w:t>20</w:t>
        </w:r>
        <w:r w:rsidR="001739F3" w:rsidRPr="003B37F4">
          <w:rPr>
            <w:noProof/>
            <w:webHidden/>
          </w:rPr>
          <w:fldChar w:fldCharType="end"/>
        </w:r>
      </w:hyperlink>
    </w:p>
    <w:p w14:paraId="612FE07F" w14:textId="1CBC30DD" w:rsidR="002055FE" w:rsidRPr="003B37F4" w:rsidRDefault="00D041C2">
      <w:pPr>
        <w:pStyle w:val="TOC3"/>
        <w:tabs>
          <w:tab w:val="left" w:pos="880"/>
          <w:tab w:val="right" w:leader="dot" w:pos="9350"/>
        </w:tabs>
        <w:rPr>
          <w:rFonts w:asciiTheme="minorHAnsi" w:eastAsiaTheme="minorEastAsia" w:hAnsiTheme="minorHAnsi" w:cstheme="minorBidi"/>
          <w:noProof/>
          <w:sz w:val="22"/>
          <w:szCs w:val="22"/>
        </w:rPr>
      </w:pPr>
      <w:hyperlink w:anchor="_Toc315938430" w:history="1">
        <w:r w:rsidR="002055FE" w:rsidRPr="003B37F4">
          <w:rPr>
            <w:rStyle w:val="Hyperlink"/>
            <w:noProof/>
          </w:rPr>
          <w:t>A.</w:t>
        </w:r>
        <w:r w:rsidR="002055FE" w:rsidRPr="003B37F4">
          <w:rPr>
            <w:rFonts w:asciiTheme="minorHAnsi" w:eastAsiaTheme="minorEastAsia" w:hAnsiTheme="minorHAnsi" w:cstheme="minorBidi"/>
            <w:noProof/>
            <w:sz w:val="22"/>
            <w:szCs w:val="22"/>
          </w:rPr>
          <w:tab/>
        </w:r>
        <w:r w:rsidR="002055FE" w:rsidRPr="003B37F4">
          <w:rPr>
            <w:rStyle w:val="Hyperlink"/>
            <w:noProof/>
          </w:rPr>
          <w:t>Basis of Presentation</w:t>
        </w:r>
        <w:r w:rsidR="002055FE" w:rsidRPr="003B37F4">
          <w:rPr>
            <w:noProof/>
            <w:webHidden/>
          </w:rPr>
          <w:tab/>
        </w:r>
        <w:r w:rsidR="001739F3" w:rsidRPr="003B37F4">
          <w:rPr>
            <w:noProof/>
            <w:webHidden/>
          </w:rPr>
          <w:fldChar w:fldCharType="begin"/>
        </w:r>
        <w:r w:rsidR="002055FE" w:rsidRPr="003B37F4">
          <w:rPr>
            <w:noProof/>
            <w:webHidden/>
          </w:rPr>
          <w:instrText xml:space="preserve"> PAGEREF _Toc315938430 \h </w:instrText>
        </w:r>
        <w:r w:rsidR="001739F3" w:rsidRPr="003B37F4">
          <w:rPr>
            <w:noProof/>
            <w:webHidden/>
          </w:rPr>
        </w:r>
        <w:r w:rsidR="001739F3" w:rsidRPr="003B37F4">
          <w:rPr>
            <w:noProof/>
            <w:webHidden/>
          </w:rPr>
          <w:fldChar w:fldCharType="separate"/>
        </w:r>
        <w:r w:rsidR="003B37F4">
          <w:rPr>
            <w:noProof/>
            <w:webHidden/>
          </w:rPr>
          <w:t>20</w:t>
        </w:r>
        <w:r w:rsidR="001739F3" w:rsidRPr="003B37F4">
          <w:rPr>
            <w:noProof/>
            <w:webHidden/>
          </w:rPr>
          <w:fldChar w:fldCharType="end"/>
        </w:r>
      </w:hyperlink>
    </w:p>
    <w:p w14:paraId="04C451F0" w14:textId="19FAA580" w:rsidR="002055FE" w:rsidRPr="003B37F4" w:rsidRDefault="00D041C2">
      <w:pPr>
        <w:pStyle w:val="TOC3"/>
        <w:tabs>
          <w:tab w:val="left" w:pos="880"/>
          <w:tab w:val="right" w:leader="dot" w:pos="9350"/>
        </w:tabs>
        <w:rPr>
          <w:rFonts w:asciiTheme="minorHAnsi" w:eastAsiaTheme="minorEastAsia" w:hAnsiTheme="minorHAnsi" w:cstheme="minorBidi"/>
          <w:noProof/>
          <w:sz w:val="22"/>
          <w:szCs w:val="22"/>
        </w:rPr>
      </w:pPr>
      <w:hyperlink w:anchor="_Toc315938431" w:history="1">
        <w:r w:rsidR="002055FE" w:rsidRPr="003B37F4">
          <w:rPr>
            <w:rStyle w:val="Hyperlink"/>
            <w:noProof/>
          </w:rPr>
          <w:t>B.</w:t>
        </w:r>
        <w:r w:rsidR="002055FE" w:rsidRPr="003B37F4">
          <w:rPr>
            <w:rFonts w:asciiTheme="minorHAnsi" w:eastAsiaTheme="minorEastAsia" w:hAnsiTheme="minorHAnsi" w:cstheme="minorBidi"/>
            <w:noProof/>
            <w:sz w:val="22"/>
            <w:szCs w:val="22"/>
          </w:rPr>
          <w:tab/>
        </w:r>
        <w:r w:rsidR="002055FE" w:rsidRPr="003B37F4">
          <w:rPr>
            <w:rStyle w:val="Hyperlink"/>
            <w:noProof/>
          </w:rPr>
          <w:t>Fund Accounting</w:t>
        </w:r>
        <w:r w:rsidR="002055FE" w:rsidRPr="003B37F4">
          <w:rPr>
            <w:noProof/>
            <w:webHidden/>
          </w:rPr>
          <w:tab/>
        </w:r>
        <w:r w:rsidR="001739F3" w:rsidRPr="003B37F4">
          <w:rPr>
            <w:noProof/>
            <w:webHidden/>
          </w:rPr>
          <w:fldChar w:fldCharType="begin"/>
        </w:r>
        <w:r w:rsidR="002055FE" w:rsidRPr="003B37F4">
          <w:rPr>
            <w:noProof/>
            <w:webHidden/>
          </w:rPr>
          <w:instrText xml:space="preserve"> PAGEREF _Toc315938431 \h </w:instrText>
        </w:r>
        <w:r w:rsidR="001739F3" w:rsidRPr="003B37F4">
          <w:rPr>
            <w:noProof/>
            <w:webHidden/>
          </w:rPr>
        </w:r>
        <w:r w:rsidR="001739F3" w:rsidRPr="003B37F4">
          <w:rPr>
            <w:noProof/>
            <w:webHidden/>
          </w:rPr>
          <w:fldChar w:fldCharType="separate"/>
        </w:r>
        <w:r w:rsidR="003B37F4">
          <w:rPr>
            <w:noProof/>
            <w:webHidden/>
          </w:rPr>
          <w:t>21</w:t>
        </w:r>
        <w:r w:rsidR="001739F3" w:rsidRPr="003B37F4">
          <w:rPr>
            <w:noProof/>
            <w:webHidden/>
          </w:rPr>
          <w:fldChar w:fldCharType="end"/>
        </w:r>
      </w:hyperlink>
    </w:p>
    <w:p w14:paraId="7A8829F1" w14:textId="4208219B" w:rsidR="002055FE" w:rsidRPr="003B37F4" w:rsidRDefault="00D041C2">
      <w:pPr>
        <w:pStyle w:val="TOC3"/>
        <w:tabs>
          <w:tab w:val="left" w:pos="880"/>
          <w:tab w:val="right" w:leader="dot" w:pos="9350"/>
        </w:tabs>
        <w:rPr>
          <w:rFonts w:asciiTheme="minorHAnsi" w:eastAsiaTheme="minorEastAsia" w:hAnsiTheme="minorHAnsi" w:cstheme="minorBidi"/>
          <w:noProof/>
          <w:sz w:val="22"/>
          <w:szCs w:val="22"/>
        </w:rPr>
      </w:pPr>
      <w:hyperlink w:anchor="_Toc315938432" w:history="1">
        <w:r w:rsidR="002055FE" w:rsidRPr="003B37F4">
          <w:rPr>
            <w:rStyle w:val="Hyperlink"/>
            <w:noProof/>
          </w:rPr>
          <w:t>C.</w:t>
        </w:r>
        <w:r w:rsidR="002055FE" w:rsidRPr="003B37F4">
          <w:rPr>
            <w:rFonts w:asciiTheme="minorHAnsi" w:eastAsiaTheme="minorEastAsia" w:hAnsiTheme="minorHAnsi" w:cstheme="minorBidi"/>
            <w:noProof/>
            <w:sz w:val="22"/>
            <w:szCs w:val="22"/>
          </w:rPr>
          <w:tab/>
        </w:r>
        <w:r w:rsidR="002055FE" w:rsidRPr="003B37F4">
          <w:rPr>
            <w:rStyle w:val="Hyperlink"/>
            <w:noProof/>
          </w:rPr>
          <w:t>Basis of Accounting</w:t>
        </w:r>
        <w:r w:rsidR="002055FE" w:rsidRPr="003B37F4">
          <w:rPr>
            <w:noProof/>
            <w:webHidden/>
          </w:rPr>
          <w:tab/>
        </w:r>
        <w:r w:rsidR="001739F3" w:rsidRPr="003B37F4">
          <w:rPr>
            <w:noProof/>
            <w:webHidden/>
          </w:rPr>
          <w:fldChar w:fldCharType="begin"/>
        </w:r>
        <w:r w:rsidR="002055FE" w:rsidRPr="003B37F4">
          <w:rPr>
            <w:noProof/>
            <w:webHidden/>
          </w:rPr>
          <w:instrText xml:space="preserve"> PAGEREF _Toc315938432 \h </w:instrText>
        </w:r>
        <w:r w:rsidR="001739F3" w:rsidRPr="003B37F4">
          <w:rPr>
            <w:noProof/>
            <w:webHidden/>
          </w:rPr>
        </w:r>
        <w:r w:rsidR="001739F3" w:rsidRPr="003B37F4">
          <w:rPr>
            <w:noProof/>
            <w:webHidden/>
          </w:rPr>
          <w:fldChar w:fldCharType="separate"/>
        </w:r>
        <w:r w:rsidR="003B37F4">
          <w:rPr>
            <w:noProof/>
            <w:webHidden/>
          </w:rPr>
          <w:t>22</w:t>
        </w:r>
        <w:r w:rsidR="001739F3" w:rsidRPr="003B37F4">
          <w:rPr>
            <w:noProof/>
            <w:webHidden/>
          </w:rPr>
          <w:fldChar w:fldCharType="end"/>
        </w:r>
      </w:hyperlink>
    </w:p>
    <w:p w14:paraId="54BE06E0" w14:textId="4C181721" w:rsidR="002055FE" w:rsidRPr="003B37F4" w:rsidRDefault="00D041C2">
      <w:pPr>
        <w:pStyle w:val="TOC3"/>
        <w:tabs>
          <w:tab w:val="left" w:pos="880"/>
          <w:tab w:val="right" w:leader="dot" w:pos="9350"/>
        </w:tabs>
        <w:rPr>
          <w:rFonts w:asciiTheme="minorHAnsi" w:eastAsiaTheme="minorEastAsia" w:hAnsiTheme="minorHAnsi" w:cstheme="minorBidi"/>
          <w:noProof/>
          <w:sz w:val="22"/>
          <w:szCs w:val="22"/>
        </w:rPr>
      </w:pPr>
      <w:hyperlink w:anchor="_Toc315938433" w:history="1">
        <w:r w:rsidR="002055FE" w:rsidRPr="003B37F4">
          <w:rPr>
            <w:rStyle w:val="Hyperlink"/>
            <w:noProof/>
          </w:rPr>
          <w:t>D.</w:t>
        </w:r>
        <w:r w:rsidR="002055FE" w:rsidRPr="003B37F4">
          <w:rPr>
            <w:rFonts w:asciiTheme="minorHAnsi" w:eastAsiaTheme="minorEastAsia" w:hAnsiTheme="minorHAnsi" w:cstheme="minorBidi"/>
            <w:noProof/>
            <w:sz w:val="22"/>
            <w:szCs w:val="22"/>
          </w:rPr>
          <w:tab/>
        </w:r>
        <w:r w:rsidR="002055FE" w:rsidRPr="003B37F4">
          <w:rPr>
            <w:rStyle w:val="Hyperlink"/>
            <w:noProof/>
          </w:rPr>
          <w:t>Budgetary Process</w:t>
        </w:r>
        <w:r w:rsidR="002055FE" w:rsidRPr="003B37F4">
          <w:rPr>
            <w:noProof/>
            <w:webHidden/>
          </w:rPr>
          <w:tab/>
        </w:r>
        <w:r w:rsidR="001739F3" w:rsidRPr="003B37F4">
          <w:rPr>
            <w:noProof/>
            <w:webHidden/>
          </w:rPr>
          <w:fldChar w:fldCharType="begin"/>
        </w:r>
        <w:r w:rsidR="002055FE" w:rsidRPr="003B37F4">
          <w:rPr>
            <w:noProof/>
            <w:webHidden/>
          </w:rPr>
          <w:instrText xml:space="preserve"> PAGEREF _Toc315938433 \h </w:instrText>
        </w:r>
        <w:r w:rsidR="001739F3" w:rsidRPr="003B37F4">
          <w:rPr>
            <w:noProof/>
            <w:webHidden/>
          </w:rPr>
        </w:r>
        <w:r w:rsidR="001739F3" w:rsidRPr="003B37F4">
          <w:rPr>
            <w:noProof/>
            <w:webHidden/>
          </w:rPr>
          <w:fldChar w:fldCharType="separate"/>
        </w:r>
        <w:r w:rsidR="003B37F4">
          <w:rPr>
            <w:noProof/>
            <w:webHidden/>
          </w:rPr>
          <w:t>22</w:t>
        </w:r>
        <w:r w:rsidR="001739F3" w:rsidRPr="003B37F4">
          <w:rPr>
            <w:noProof/>
            <w:webHidden/>
          </w:rPr>
          <w:fldChar w:fldCharType="end"/>
        </w:r>
      </w:hyperlink>
    </w:p>
    <w:p w14:paraId="191A90D3" w14:textId="4548A916" w:rsidR="002055FE" w:rsidRPr="003B37F4" w:rsidRDefault="00D041C2">
      <w:pPr>
        <w:pStyle w:val="TOC3"/>
        <w:tabs>
          <w:tab w:val="left" w:pos="880"/>
          <w:tab w:val="right" w:leader="dot" w:pos="9350"/>
        </w:tabs>
        <w:rPr>
          <w:rFonts w:asciiTheme="minorHAnsi" w:eastAsiaTheme="minorEastAsia" w:hAnsiTheme="minorHAnsi" w:cstheme="minorBidi"/>
          <w:noProof/>
          <w:sz w:val="22"/>
          <w:szCs w:val="22"/>
        </w:rPr>
      </w:pPr>
      <w:hyperlink w:anchor="_Toc315938434" w:history="1">
        <w:r w:rsidR="002055FE" w:rsidRPr="003B37F4">
          <w:rPr>
            <w:rStyle w:val="Hyperlink"/>
            <w:noProof/>
          </w:rPr>
          <w:t>E.</w:t>
        </w:r>
        <w:r w:rsidR="002055FE" w:rsidRPr="003B37F4">
          <w:rPr>
            <w:rFonts w:asciiTheme="minorHAnsi" w:eastAsiaTheme="minorEastAsia" w:hAnsiTheme="minorHAnsi" w:cstheme="minorBidi"/>
            <w:noProof/>
            <w:sz w:val="22"/>
            <w:szCs w:val="22"/>
          </w:rPr>
          <w:tab/>
        </w:r>
        <w:r w:rsidR="002055FE" w:rsidRPr="003B37F4">
          <w:rPr>
            <w:rStyle w:val="Hyperlink"/>
            <w:noProof/>
          </w:rPr>
          <w:t>Cash and Investments</w:t>
        </w:r>
        <w:r w:rsidR="002055FE" w:rsidRPr="003B37F4">
          <w:rPr>
            <w:noProof/>
            <w:webHidden/>
          </w:rPr>
          <w:tab/>
        </w:r>
        <w:r w:rsidR="001739F3" w:rsidRPr="003B37F4">
          <w:rPr>
            <w:noProof/>
            <w:webHidden/>
          </w:rPr>
          <w:fldChar w:fldCharType="begin"/>
        </w:r>
        <w:r w:rsidR="002055FE" w:rsidRPr="003B37F4">
          <w:rPr>
            <w:noProof/>
            <w:webHidden/>
          </w:rPr>
          <w:instrText xml:space="preserve"> PAGEREF _Toc315938434 \h </w:instrText>
        </w:r>
        <w:r w:rsidR="001739F3" w:rsidRPr="003B37F4">
          <w:rPr>
            <w:noProof/>
            <w:webHidden/>
          </w:rPr>
        </w:r>
        <w:r w:rsidR="001739F3" w:rsidRPr="003B37F4">
          <w:rPr>
            <w:noProof/>
            <w:webHidden/>
          </w:rPr>
          <w:fldChar w:fldCharType="separate"/>
        </w:r>
        <w:r w:rsidR="003B37F4">
          <w:rPr>
            <w:noProof/>
            <w:webHidden/>
          </w:rPr>
          <w:t>23</w:t>
        </w:r>
        <w:r w:rsidR="001739F3" w:rsidRPr="003B37F4">
          <w:rPr>
            <w:noProof/>
            <w:webHidden/>
          </w:rPr>
          <w:fldChar w:fldCharType="end"/>
        </w:r>
      </w:hyperlink>
    </w:p>
    <w:p w14:paraId="2B32B323" w14:textId="7548F6D8" w:rsidR="002055FE" w:rsidRPr="003B37F4" w:rsidRDefault="00D041C2">
      <w:pPr>
        <w:pStyle w:val="TOC3"/>
        <w:tabs>
          <w:tab w:val="left" w:pos="880"/>
          <w:tab w:val="right" w:leader="dot" w:pos="9350"/>
        </w:tabs>
        <w:rPr>
          <w:rFonts w:asciiTheme="minorHAnsi" w:eastAsiaTheme="minorEastAsia" w:hAnsiTheme="minorHAnsi" w:cstheme="minorBidi"/>
          <w:noProof/>
          <w:sz w:val="22"/>
          <w:szCs w:val="22"/>
        </w:rPr>
      </w:pPr>
      <w:hyperlink w:anchor="_Toc315938435" w:history="1">
        <w:r w:rsidR="002055FE" w:rsidRPr="003B37F4">
          <w:rPr>
            <w:rStyle w:val="Hyperlink"/>
            <w:noProof/>
          </w:rPr>
          <w:t>F.</w:t>
        </w:r>
        <w:r w:rsidR="002055FE" w:rsidRPr="003B37F4">
          <w:rPr>
            <w:rFonts w:asciiTheme="minorHAnsi" w:eastAsiaTheme="minorEastAsia" w:hAnsiTheme="minorHAnsi" w:cstheme="minorBidi"/>
            <w:noProof/>
            <w:sz w:val="22"/>
            <w:szCs w:val="22"/>
          </w:rPr>
          <w:tab/>
        </w:r>
        <w:r w:rsidR="002055FE" w:rsidRPr="003B37F4">
          <w:rPr>
            <w:rStyle w:val="Hyperlink"/>
            <w:noProof/>
          </w:rPr>
          <w:t>Restricted Assets</w:t>
        </w:r>
        <w:r w:rsidR="002055FE" w:rsidRPr="003B37F4">
          <w:rPr>
            <w:noProof/>
            <w:webHidden/>
          </w:rPr>
          <w:tab/>
        </w:r>
        <w:r w:rsidR="001739F3" w:rsidRPr="003B37F4">
          <w:rPr>
            <w:noProof/>
            <w:webHidden/>
          </w:rPr>
          <w:fldChar w:fldCharType="begin"/>
        </w:r>
        <w:r w:rsidR="002055FE" w:rsidRPr="003B37F4">
          <w:rPr>
            <w:noProof/>
            <w:webHidden/>
          </w:rPr>
          <w:instrText xml:space="preserve"> PAGEREF _Toc315938435 \h </w:instrText>
        </w:r>
        <w:r w:rsidR="001739F3" w:rsidRPr="003B37F4">
          <w:rPr>
            <w:noProof/>
            <w:webHidden/>
          </w:rPr>
        </w:r>
        <w:r w:rsidR="001739F3" w:rsidRPr="003B37F4">
          <w:rPr>
            <w:noProof/>
            <w:webHidden/>
          </w:rPr>
          <w:fldChar w:fldCharType="separate"/>
        </w:r>
        <w:r w:rsidR="003B37F4">
          <w:rPr>
            <w:noProof/>
            <w:webHidden/>
          </w:rPr>
          <w:t>23</w:t>
        </w:r>
        <w:r w:rsidR="001739F3" w:rsidRPr="003B37F4">
          <w:rPr>
            <w:noProof/>
            <w:webHidden/>
          </w:rPr>
          <w:fldChar w:fldCharType="end"/>
        </w:r>
      </w:hyperlink>
    </w:p>
    <w:p w14:paraId="530F204D" w14:textId="3312B487" w:rsidR="002055FE" w:rsidRPr="003B37F4" w:rsidRDefault="00D041C2">
      <w:pPr>
        <w:pStyle w:val="TOC3"/>
        <w:tabs>
          <w:tab w:val="left" w:pos="1100"/>
          <w:tab w:val="right" w:leader="dot" w:pos="9350"/>
        </w:tabs>
        <w:rPr>
          <w:rFonts w:asciiTheme="minorHAnsi" w:eastAsiaTheme="minorEastAsia" w:hAnsiTheme="minorHAnsi" w:cstheme="minorBidi"/>
          <w:noProof/>
          <w:sz w:val="22"/>
          <w:szCs w:val="22"/>
        </w:rPr>
      </w:pPr>
      <w:hyperlink w:anchor="_Toc315938436" w:history="1">
        <w:r w:rsidR="002055FE" w:rsidRPr="003B37F4">
          <w:rPr>
            <w:rStyle w:val="Hyperlink"/>
            <w:noProof/>
          </w:rPr>
          <w:t xml:space="preserve">G. </w:t>
        </w:r>
        <w:r w:rsidR="002055FE" w:rsidRPr="003B37F4">
          <w:rPr>
            <w:rFonts w:asciiTheme="minorHAnsi" w:eastAsiaTheme="minorEastAsia" w:hAnsiTheme="minorHAnsi" w:cstheme="minorBidi"/>
            <w:noProof/>
            <w:sz w:val="22"/>
            <w:szCs w:val="22"/>
          </w:rPr>
          <w:tab/>
        </w:r>
        <w:r w:rsidR="002055FE" w:rsidRPr="003B37F4">
          <w:rPr>
            <w:rStyle w:val="Hyperlink"/>
            <w:noProof/>
          </w:rPr>
          <w:t>Inventory and Prepaid Items</w:t>
        </w:r>
        <w:r w:rsidR="002055FE" w:rsidRPr="003B37F4">
          <w:rPr>
            <w:noProof/>
            <w:webHidden/>
          </w:rPr>
          <w:tab/>
        </w:r>
        <w:r w:rsidR="001739F3" w:rsidRPr="003B37F4">
          <w:rPr>
            <w:noProof/>
            <w:webHidden/>
          </w:rPr>
          <w:fldChar w:fldCharType="begin"/>
        </w:r>
        <w:r w:rsidR="002055FE" w:rsidRPr="003B37F4">
          <w:rPr>
            <w:noProof/>
            <w:webHidden/>
          </w:rPr>
          <w:instrText xml:space="preserve"> PAGEREF _Toc315938436 \h </w:instrText>
        </w:r>
        <w:r w:rsidR="001739F3" w:rsidRPr="003B37F4">
          <w:rPr>
            <w:noProof/>
            <w:webHidden/>
          </w:rPr>
        </w:r>
        <w:r w:rsidR="001739F3" w:rsidRPr="003B37F4">
          <w:rPr>
            <w:noProof/>
            <w:webHidden/>
          </w:rPr>
          <w:fldChar w:fldCharType="separate"/>
        </w:r>
        <w:r w:rsidR="003B37F4">
          <w:rPr>
            <w:noProof/>
            <w:webHidden/>
          </w:rPr>
          <w:t>23</w:t>
        </w:r>
        <w:r w:rsidR="001739F3" w:rsidRPr="003B37F4">
          <w:rPr>
            <w:noProof/>
            <w:webHidden/>
          </w:rPr>
          <w:fldChar w:fldCharType="end"/>
        </w:r>
      </w:hyperlink>
    </w:p>
    <w:p w14:paraId="06571AF8" w14:textId="120C3B4E" w:rsidR="002055FE" w:rsidRPr="003B37F4" w:rsidRDefault="00D041C2">
      <w:pPr>
        <w:pStyle w:val="TOC3"/>
        <w:tabs>
          <w:tab w:val="left" w:pos="880"/>
          <w:tab w:val="right" w:leader="dot" w:pos="9350"/>
        </w:tabs>
        <w:rPr>
          <w:rFonts w:asciiTheme="minorHAnsi" w:eastAsiaTheme="minorEastAsia" w:hAnsiTheme="minorHAnsi" w:cstheme="minorBidi"/>
          <w:noProof/>
          <w:sz w:val="22"/>
          <w:szCs w:val="22"/>
        </w:rPr>
      </w:pPr>
      <w:hyperlink w:anchor="_Toc315938437" w:history="1">
        <w:r w:rsidR="002055FE" w:rsidRPr="003B37F4">
          <w:rPr>
            <w:rStyle w:val="Hyperlink"/>
            <w:noProof/>
          </w:rPr>
          <w:t>H.</w:t>
        </w:r>
        <w:r w:rsidR="002055FE" w:rsidRPr="003B37F4">
          <w:rPr>
            <w:rFonts w:asciiTheme="minorHAnsi" w:eastAsiaTheme="minorEastAsia" w:hAnsiTheme="minorHAnsi" w:cstheme="minorBidi"/>
            <w:noProof/>
            <w:sz w:val="22"/>
            <w:szCs w:val="22"/>
          </w:rPr>
          <w:tab/>
        </w:r>
        <w:r w:rsidR="002055FE" w:rsidRPr="003B37F4">
          <w:rPr>
            <w:rStyle w:val="Hyperlink"/>
            <w:noProof/>
          </w:rPr>
          <w:t>Capital Assets</w:t>
        </w:r>
        <w:r w:rsidR="002055FE" w:rsidRPr="003B37F4">
          <w:rPr>
            <w:noProof/>
            <w:webHidden/>
          </w:rPr>
          <w:tab/>
        </w:r>
        <w:r w:rsidR="001739F3" w:rsidRPr="003B37F4">
          <w:rPr>
            <w:noProof/>
            <w:webHidden/>
          </w:rPr>
          <w:fldChar w:fldCharType="begin"/>
        </w:r>
        <w:r w:rsidR="002055FE" w:rsidRPr="003B37F4">
          <w:rPr>
            <w:noProof/>
            <w:webHidden/>
          </w:rPr>
          <w:instrText xml:space="preserve"> PAGEREF _Toc315938437 \h </w:instrText>
        </w:r>
        <w:r w:rsidR="001739F3" w:rsidRPr="003B37F4">
          <w:rPr>
            <w:noProof/>
            <w:webHidden/>
          </w:rPr>
        </w:r>
        <w:r w:rsidR="001739F3" w:rsidRPr="003B37F4">
          <w:rPr>
            <w:noProof/>
            <w:webHidden/>
          </w:rPr>
          <w:fldChar w:fldCharType="separate"/>
        </w:r>
        <w:r w:rsidR="003B37F4">
          <w:rPr>
            <w:noProof/>
            <w:webHidden/>
          </w:rPr>
          <w:t>23</w:t>
        </w:r>
        <w:r w:rsidR="001739F3" w:rsidRPr="003B37F4">
          <w:rPr>
            <w:noProof/>
            <w:webHidden/>
          </w:rPr>
          <w:fldChar w:fldCharType="end"/>
        </w:r>
      </w:hyperlink>
    </w:p>
    <w:p w14:paraId="56B24C46" w14:textId="4B19B944" w:rsidR="002055FE" w:rsidRPr="003B37F4" w:rsidRDefault="00D041C2">
      <w:pPr>
        <w:pStyle w:val="TOC3"/>
        <w:tabs>
          <w:tab w:val="left" w:pos="880"/>
          <w:tab w:val="right" w:leader="dot" w:pos="9350"/>
        </w:tabs>
        <w:rPr>
          <w:rFonts w:asciiTheme="minorHAnsi" w:eastAsiaTheme="minorEastAsia" w:hAnsiTheme="minorHAnsi" w:cstheme="minorBidi"/>
          <w:noProof/>
          <w:sz w:val="22"/>
          <w:szCs w:val="22"/>
        </w:rPr>
      </w:pPr>
      <w:hyperlink w:anchor="_Toc315938438" w:history="1">
        <w:r w:rsidR="002055FE" w:rsidRPr="003B37F4">
          <w:rPr>
            <w:rStyle w:val="Hyperlink"/>
            <w:noProof/>
          </w:rPr>
          <w:t>I.</w:t>
        </w:r>
        <w:r w:rsidR="002055FE" w:rsidRPr="003B37F4">
          <w:rPr>
            <w:rFonts w:asciiTheme="minorHAnsi" w:eastAsiaTheme="minorEastAsia" w:hAnsiTheme="minorHAnsi" w:cstheme="minorBidi"/>
            <w:noProof/>
            <w:sz w:val="22"/>
            <w:szCs w:val="22"/>
          </w:rPr>
          <w:tab/>
        </w:r>
        <w:r w:rsidR="002055FE" w:rsidRPr="003B37F4">
          <w:rPr>
            <w:rStyle w:val="Hyperlink"/>
            <w:noProof/>
          </w:rPr>
          <w:t>Interfund Receivables/Payables</w:t>
        </w:r>
        <w:r w:rsidR="002055FE" w:rsidRPr="003B37F4">
          <w:rPr>
            <w:noProof/>
            <w:webHidden/>
          </w:rPr>
          <w:tab/>
        </w:r>
        <w:r w:rsidR="001739F3" w:rsidRPr="003B37F4">
          <w:rPr>
            <w:noProof/>
            <w:webHidden/>
          </w:rPr>
          <w:fldChar w:fldCharType="begin"/>
        </w:r>
        <w:r w:rsidR="002055FE" w:rsidRPr="003B37F4">
          <w:rPr>
            <w:noProof/>
            <w:webHidden/>
          </w:rPr>
          <w:instrText xml:space="preserve"> PAGEREF _Toc315938438 \h </w:instrText>
        </w:r>
        <w:r w:rsidR="001739F3" w:rsidRPr="003B37F4">
          <w:rPr>
            <w:noProof/>
            <w:webHidden/>
          </w:rPr>
        </w:r>
        <w:r w:rsidR="001739F3" w:rsidRPr="003B37F4">
          <w:rPr>
            <w:noProof/>
            <w:webHidden/>
          </w:rPr>
          <w:fldChar w:fldCharType="separate"/>
        </w:r>
        <w:r w:rsidR="003B37F4">
          <w:rPr>
            <w:noProof/>
            <w:webHidden/>
          </w:rPr>
          <w:t>23</w:t>
        </w:r>
        <w:r w:rsidR="001739F3" w:rsidRPr="003B37F4">
          <w:rPr>
            <w:noProof/>
            <w:webHidden/>
          </w:rPr>
          <w:fldChar w:fldCharType="end"/>
        </w:r>
      </w:hyperlink>
    </w:p>
    <w:p w14:paraId="1124EB68" w14:textId="5C026F4D" w:rsidR="002055FE" w:rsidRPr="003B37F4" w:rsidRDefault="00D041C2">
      <w:pPr>
        <w:pStyle w:val="TOC3"/>
        <w:tabs>
          <w:tab w:val="left" w:pos="880"/>
          <w:tab w:val="right" w:leader="dot" w:pos="9350"/>
        </w:tabs>
        <w:rPr>
          <w:rFonts w:asciiTheme="minorHAnsi" w:eastAsiaTheme="minorEastAsia" w:hAnsiTheme="minorHAnsi" w:cstheme="minorBidi"/>
          <w:noProof/>
          <w:sz w:val="22"/>
          <w:szCs w:val="22"/>
        </w:rPr>
      </w:pPr>
      <w:hyperlink w:anchor="_Toc315938439" w:history="1">
        <w:r w:rsidR="002055FE" w:rsidRPr="003B37F4">
          <w:rPr>
            <w:rStyle w:val="Hyperlink"/>
            <w:noProof/>
          </w:rPr>
          <w:t>J.</w:t>
        </w:r>
        <w:r w:rsidR="002055FE" w:rsidRPr="003B37F4">
          <w:rPr>
            <w:rFonts w:asciiTheme="minorHAnsi" w:eastAsiaTheme="minorEastAsia" w:hAnsiTheme="minorHAnsi" w:cstheme="minorBidi"/>
            <w:noProof/>
            <w:sz w:val="22"/>
            <w:szCs w:val="22"/>
          </w:rPr>
          <w:tab/>
        </w:r>
        <w:r w:rsidR="002055FE" w:rsidRPr="003B37F4">
          <w:rPr>
            <w:rStyle w:val="Hyperlink"/>
            <w:noProof/>
          </w:rPr>
          <w:t>Accumulated Leave</w:t>
        </w:r>
        <w:r w:rsidR="002055FE" w:rsidRPr="003B37F4">
          <w:rPr>
            <w:noProof/>
            <w:webHidden/>
          </w:rPr>
          <w:tab/>
        </w:r>
        <w:r w:rsidR="001739F3" w:rsidRPr="003B37F4">
          <w:rPr>
            <w:noProof/>
            <w:webHidden/>
          </w:rPr>
          <w:fldChar w:fldCharType="begin"/>
        </w:r>
        <w:r w:rsidR="002055FE" w:rsidRPr="003B37F4">
          <w:rPr>
            <w:noProof/>
            <w:webHidden/>
          </w:rPr>
          <w:instrText xml:space="preserve"> PAGEREF _Toc315938439 \h </w:instrText>
        </w:r>
        <w:r w:rsidR="001739F3" w:rsidRPr="003B37F4">
          <w:rPr>
            <w:noProof/>
            <w:webHidden/>
          </w:rPr>
        </w:r>
        <w:r w:rsidR="001739F3" w:rsidRPr="003B37F4">
          <w:rPr>
            <w:noProof/>
            <w:webHidden/>
          </w:rPr>
          <w:fldChar w:fldCharType="separate"/>
        </w:r>
        <w:r w:rsidR="003B37F4">
          <w:rPr>
            <w:noProof/>
            <w:webHidden/>
          </w:rPr>
          <w:t>23</w:t>
        </w:r>
        <w:r w:rsidR="001739F3" w:rsidRPr="003B37F4">
          <w:rPr>
            <w:noProof/>
            <w:webHidden/>
          </w:rPr>
          <w:fldChar w:fldCharType="end"/>
        </w:r>
      </w:hyperlink>
    </w:p>
    <w:p w14:paraId="50679D51" w14:textId="6F7BB9DE" w:rsidR="002055FE" w:rsidRPr="003B37F4" w:rsidRDefault="00D041C2">
      <w:pPr>
        <w:pStyle w:val="TOC3"/>
        <w:tabs>
          <w:tab w:val="left" w:pos="880"/>
          <w:tab w:val="right" w:leader="dot" w:pos="9350"/>
        </w:tabs>
        <w:rPr>
          <w:rFonts w:asciiTheme="minorHAnsi" w:eastAsiaTheme="minorEastAsia" w:hAnsiTheme="minorHAnsi" w:cstheme="minorBidi"/>
          <w:noProof/>
          <w:sz w:val="22"/>
          <w:szCs w:val="22"/>
        </w:rPr>
      </w:pPr>
      <w:hyperlink w:anchor="_Toc315938440" w:history="1">
        <w:r w:rsidR="002055FE" w:rsidRPr="003B37F4">
          <w:rPr>
            <w:rStyle w:val="Hyperlink"/>
            <w:noProof/>
          </w:rPr>
          <w:t>K.</w:t>
        </w:r>
        <w:r w:rsidR="002055FE" w:rsidRPr="003B37F4">
          <w:rPr>
            <w:rFonts w:asciiTheme="minorHAnsi" w:eastAsiaTheme="minorEastAsia" w:hAnsiTheme="minorHAnsi" w:cstheme="minorBidi"/>
            <w:noProof/>
            <w:sz w:val="22"/>
            <w:szCs w:val="22"/>
          </w:rPr>
          <w:tab/>
        </w:r>
        <w:r w:rsidR="002055FE" w:rsidRPr="003B37F4">
          <w:rPr>
            <w:rStyle w:val="Hyperlink"/>
            <w:noProof/>
          </w:rPr>
          <w:t>Employer Contributions to Cost-Sharing Pension Plans</w:t>
        </w:r>
        <w:r w:rsidR="002055FE" w:rsidRPr="003B37F4">
          <w:rPr>
            <w:noProof/>
            <w:webHidden/>
          </w:rPr>
          <w:tab/>
        </w:r>
        <w:r w:rsidR="001739F3" w:rsidRPr="003B37F4">
          <w:rPr>
            <w:noProof/>
            <w:webHidden/>
          </w:rPr>
          <w:fldChar w:fldCharType="begin"/>
        </w:r>
        <w:r w:rsidR="002055FE" w:rsidRPr="003B37F4">
          <w:rPr>
            <w:noProof/>
            <w:webHidden/>
          </w:rPr>
          <w:instrText xml:space="preserve"> PAGEREF _Toc315938440 \h </w:instrText>
        </w:r>
        <w:r w:rsidR="001739F3" w:rsidRPr="003B37F4">
          <w:rPr>
            <w:noProof/>
            <w:webHidden/>
          </w:rPr>
        </w:r>
        <w:r w:rsidR="001739F3" w:rsidRPr="003B37F4">
          <w:rPr>
            <w:noProof/>
            <w:webHidden/>
          </w:rPr>
          <w:fldChar w:fldCharType="separate"/>
        </w:r>
        <w:r w:rsidR="003B37F4">
          <w:rPr>
            <w:noProof/>
            <w:webHidden/>
          </w:rPr>
          <w:t>23</w:t>
        </w:r>
        <w:r w:rsidR="001739F3" w:rsidRPr="003B37F4">
          <w:rPr>
            <w:noProof/>
            <w:webHidden/>
          </w:rPr>
          <w:fldChar w:fldCharType="end"/>
        </w:r>
      </w:hyperlink>
    </w:p>
    <w:p w14:paraId="320B1088" w14:textId="3BA0220D" w:rsidR="002055FE" w:rsidRPr="003B37F4" w:rsidRDefault="00D041C2">
      <w:pPr>
        <w:pStyle w:val="TOC3"/>
        <w:tabs>
          <w:tab w:val="left" w:pos="880"/>
          <w:tab w:val="right" w:leader="dot" w:pos="9350"/>
        </w:tabs>
        <w:rPr>
          <w:rFonts w:asciiTheme="minorHAnsi" w:eastAsiaTheme="minorEastAsia" w:hAnsiTheme="minorHAnsi" w:cstheme="minorBidi"/>
          <w:noProof/>
          <w:sz w:val="22"/>
          <w:szCs w:val="22"/>
        </w:rPr>
      </w:pPr>
      <w:hyperlink w:anchor="_Toc315938441" w:history="1">
        <w:r w:rsidR="002055FE" w:rsidRPr="003B37F4">
          <w:rPr>
            <w:rStyle w:val="Hyperlink"/>
            <w:noProof/>
          </w:rPr>
          <w:t>L.</w:t>
        </w:r>
        <w:r w:rsidR="002055FE" w:rsidRPr="003B37F4">
          <w:rPr>
            <w:rFonts w:asciiTheme="minorHAnsi" w:eastAsiaTheme="minorEastAsia" w:hAnsiTheme="minorHAnsi" w:cstheme="minorBidi"/>
            <w:noProof/>
            <w:sz w:val="22"/>
            <w:szCs w:val="22"/>
          </w:rPr>
          <w:tab/>
        </w:r>
        <w:r w:rsidR="002055FE" w:rsidRPr="003B37F4">
          <w:rPr>
            <w:rStyle w:val="Hyperlink"/>
            <w:noProof/>
          </w:rPr>
          <w:t>Long-Term Obligations</w:t>
        </w:r>
        <w:r w:rsidR="002055FE" w:rsidRPr="003B37F4">
          <w:rPr>
            <w:noProof/>
            <w:webHidden/>
          </w:rPr>
          <w:tab/>
        </w:r>
        <w:r w:rsidR="001739F3" w:rsidRPr="003B37F4">
          <w:rPr>
            <w:noProof/>
            <w:webHidden/>
          </w:rPr>
          <w:fldChar w:fldCharType="begin"/>
        </w:r>
        <w:r w:rsidR="002055FE" w:rsidRPr="003B37F4">
          <w:rPr>
            <w:noProof/>
            <w:webHidden/>
          </w:rPr>
          <w:instrText xml:space="preserve"> PAGEREF _Toc315938441 \h </w:instrText>
        </w:r>
        <w:r w:rsidR="001739F3" w:rsidRPr="003B37F4">
          <w:rPr>
            <w:noProof/>
            <w:webHidden/>
          </w:rPr>
        </w:r>
        <w:r w:rsidR="001739F3" w:rsidRPr="003B37F4">
          <w:rPr>
            <w:noProof/>
            <w:webHidden/>
          </w:rPr>
          <w:fldChar w:fldCharType="separate"/>
        </w:r>
        <w:r w:rsidR="003B37F4">
          <w:rPr>
            <w:noProof/>
            <w:webHidden/>
          </w:rPr>
          <w:t>23</w:t>
        </w:r>
        <w:r w:rsidR="001739F3" w:rsidRPr="003B37F4">
          <w:rPr>
            <w:noProof/>
            <w:webHidden/>
          </w:rPr>
          <w:fldChar w:fldCharType="end"/>
        </w:r>
      </w:hyperlink>
    </w:p>
    <w:p w14:paraId="6D85FEA8" w14:textId="0A62AB32" w:rsidR="002055FE" w:rsidRPr="003B37F4" w:rsidRDefault="00D041C2">
      <w:pPr>
        <w:pStyle w:val="TOC3"/>
        <w:tabs>
          <w:tab w:val="left" w:pos="880"/>
          <w:tab w:val="right" w:leader="dot" w:pos="9350"/>
        </w:tabs>
        <w:rPr>
          <w:rFonts w:asciiTheme="minorHAnsi" w:eastAsiaTheme="minorEastAsia" w:hAnsiTheme="minorHAnsi" w:cstheme="minorBidi"/>
          <w:noProof/>
          <w:sz w:val="22"/>
          <w:szCs w:val="22"/>
        </w:rPr>
      </w:pPr>
      <w:hyperlink w:anchor="_Toc315938442" w:history="1">
        <w:r w:rsidR="002055FE" w:rsidRPr="003B37F4">
          <w:rPr>
            <w:rStyle w:val="Hyperlink"/>
            <w:noProof/>
          </w:rPr>
          <w:t>M.</w:t>
        </w:r>
        <w:r w:rsidR="002055FE" w:rsidRPr="003B37F4">
          <w:rPr>
            <w:rFonts w:asciiTheme="minorHAnsi" w:eastAsiaTheme="minorEastAsia" w:hAnsiTheme="minorHAnsi" w:cstheme="minorBidi"/>
            <w:noProof/>
            <w:sz w:val="22"/>
            <w:szCs w:val="22"/>
          </w:rPr>
          <w:tab/>
        </w:r>
        <w:r w:rsidR="002055FE" w:rsidRPr="003B37F4">
          <w:rPr>
            <w:rStyle w:val="Hyperlink"/>
            <w:noProof/>
          </w:rPr>
          <w:t>Fund Balance Reserves</w:t>
        </w:r>
        <w:r w:rsidR="002055FE" w:rsidRPr="003B37F4">
          <w:rPr>
            <w:noProof/>
            <w:webHidden/>
          </w:rPr>
          <w:tab/>
        </w:r>
        <w:r w:rsidR="001739F3" w:rsidRPr="003B37F4">
          <w:rPr>
            <w:noProof/>
            <w:webHidden/>
          </w:rPr>
          <w:fldChar w:fldCharType="begin"/>
        </w:r>
        <w:r w:rsidR="002055FE" w:rsidRPr="003B37F4">
          <w:rPr>
            <w:noProof/>
            <w:webHidden/>
          </w:rPr>
          <w:instrText xml:space="preserve"> PAGEREF _Toc315938442 \h </w:instrText>
        </w:r>
        <w:r w:rsidR="001739F3" w:rsidRPr="003B37F4">
          <w:rPr>
            <w:noProof/>
            <w:webHidden/>
          </w:rPr>
        </w:r>
        <w:r w:rsidR="001739F3" w:rsidRPr="003B37F4">
          <w:rPr>
            <w:noProof/>
            <w:webHidden/>
          </w:rPr>
          <w:fldChar w:fldCharType="separate"/>
        </w:r>
        <w:r w:rsidR="003B37F4">
          <w:rPr>
            <w:noProof/>
            <w:webHidden/>
          </w:rPr>
          <w:t>23</w:t>
        </w:r>
        <w:r w:rsidR="001739F3" w:rsidRPr="003B37F4">
          <w:rPr>
            <w:noProof/>
            <w:webHidden/>
          </w:rPr>
          <w:fldChar w:fldCharType="end"/>
        </w:r>
      </w:hyperlink>
    </w:p>
    <w:p w14:paraId="48875749" w14:textId="03A6CA34" w:rsidR="002055FE" w:rsidRPr="003B37F4" w:rsidRDefault="00D041C2">
      <w:pPr>
        <w:pStyle w:val="TOC3"/>
        <w:tabs>
          <w:tab w:val="left" w:pos="880"/>
          <w:tab w:val="right" w:leader="dot" w:pos="9350"/>
        </w:tabs>
        <w:rPr>
          <w:rFonts w:asciiTheme="minorHAnsi" w:eastAsiaTheme="minorEastAsia" w:hAnsiTheme="minorHAnsi" w:cstheme="minorBidi"/>
          <w:noProof/>
          <w:sz w:val="22"/>
          <w:szCs w:val="22"/>
        </w:rPr>
      </w:pPr>
      <w:hyperlink w:anchor="_Toc315938443" w:history="1">
        <w:r w:rsidR="002055FE" w:rsidRPr="003B37F4">
          <w:rPr>
            <w:rStyle w:val="Hyperlink"/>
            <w:noProof/>
          </w:rPr>
          <w:t>N.</w:t>
        </w:r>
        <w:r w:rsidR="002055FE" w:rsidRPr="003B37F4">
          <w:rPr>
            <w:rFonts w:asciiTheme="minorHAnsi" w:eastAsiaTheme="minorEastAsia" w:hAnsiTheme="minorHAnsi" w:cstheme="minorBidi"/>
            <w:noProof/>
            <w:sz w:val="22"/>
            <w:szCs w:val="22"/>
          </w:rPr>
          <w:tab/>
        </w:r>
        <w:r w:rsidR="002055FE" w:rsidRPr="003B37F4">
          <w:rPr>
            <w:rStyle w:val="Hyperlink"/>
            <w:noProof/>
          </w:rPr>
          <w:t>Interfund Transactions</w:t>
        </w:r>
        <w:r w:rsidR="002055FE" w:rsidRPr="003B37F4">
          <w:rPr>
            <w:noProof/>
            <w:webHidden/>
          </w:rPr>
          <w:tab/>
        </w:r>
        <w:r w:rsidR="001739F3" w:rsidRPr="003B37F4">
          <w:rPr>
            <w:noProof/>
            <w:webHidden/>
          </w:rPr>
          <w:fldChar w:fldCharType="begin"/>
        </w:r>
        <w:r w:rsidR="002055FE" w:rsidRPr="003B37F4">
          <w:rPr>
            <w:noProof/>
            <w:webHidden/>
          </w:rPr>
          <w:instrText xml:space="preserve"> PAGEREF _Toc315938443 \h </w:instrText>
        </w:r>
        <w:r w:rsidR="001739F3" w:rsidRPr="003B37F4">
          <w:rPr>
            <w:noProof/>
            <w:webHidden/>
          </w:rPr>
        </w:r>
        <w:r w:rsidR="001739F3" w:rsidRPr="003B37F4">
          <w:rPr>
            <w:noProof/>
            <w:webHidden/>
          </w:rPr>
          <w:fldChar w:fldCharType="separate"/>
        </w:r>
        <w:r w:rsidR="003B37F4">
          <w:rPr>
            <w:noProof/>
            <w:webHidden/>
          </w:rPr>
          <w:t>24</w:t>
        </w:r>
        <w:r w:rsidR="001739F3" w:rsidRPr="003B37F4">
          <w:rPr>
            <w:noProof/>
            <w:webHidden/>
          </w:rPr>
          <w:fldChar w:fldCharType="end"/>
        </w:r>
      </w:hyperlink>
    </w:p>
    <w:p w14:paraId="0B2C66DC" w14:textId="35962DF5" w:rsidR="002055FE" w:rsidRPr="003B37F4" w:rsidRDefault="00D041C2">
      <w:pPr>
        <w:pStyle w:val="TOC2"/>
        <w:tabs>
          <w:tab w:val="left" w:pos="660"/>
          <w:tab w:val="right" w:leader="dot" w:pos="9350"/>
        </w:tabs>
        <w:rPr>
          <w:rFonts w:asciiTheme="minorHAnsi" w:eastAsiaTheme="minorEastAsia" w:hAnsiTheme="minorHAnsi" w:cstheme="minorBidi"/>
          <w:noProof/>
          <w:sz w:val="22"/>
          <w:szCs w:val="22"/>
        </w:rPr>
      </w:pPr>
      <w:hyperlink w:anchor="_Toc315938444" w:history="1">
        <w:r w:rsidR="002055FE" w:rsidRPr="003B37F4">
          <w:rPr>
            <w:rStyle w:val="Hyperlink"/>
            <w:noProof/>
          </w:rPr>
          <w:t>3.</w:t>
        </w:r>
        <w:r w:rsidR="002055FE" w:rsidRPr="003B37F4">
          <w:rPr>
            <w:rFonts w:asciiTheme="minorHAnsi" w:eastAsiaTheme="minorEastAsia" w:hAnsiTheme="minorHAnsi" w:cstheme="minorBidi"/>
            <w:noProof/>
            <w:sz w:val="22"/>
            <w:szCs w:val="22"/>
          </w:rPr>
          <w:tab/>
        </w:r>
        <w:r w:rsidR="002055FE" w:rsidRPr="003B37F4">
          <w:rPr>
            <w:rStyle w:val="Hyperlink"/>
            <w:caps/>
            <w:noProof/>
          </w:rPr>
          <w:t>Budgetary Basis of Accounting</w:t>
        </w:r>
        <w:r w:rsidR="002055FE" w:rsidRPr="003B37F4">
          <w:rPr>
            <w:noProof/>
            <w:webHidden/>
          </w:rPr>
          <w:tab/>
        </w:r>
        <w:r w:rsidR="001739F3" w:rsidRPr="003B37F4">
          <w:rPr>
            <w:noProof/>
            <w:webHidden/>
          </w:rPr>
          <w:fldChar w:fldCharType="begin"/>
        </w:r>
        <w:r w:rsidR="002055FE" w:rsidRPr="003B37F4">
          <w:rPr>
            <w:noProof/>
            <w:webHidden/>
          </w:rPr>
          <w:instrText xml:space="preserve"> PAGEREF _Toc315938444 \h </w:instrText>
        </w:r>
        <w:r w:rsidR="001739F3" w:rsidRPr="003B37F4">
          <w:rPr>
            <w:noProof/>
            <w:webHidden/>
          </w:rPr>
        </w:r>
        <w:r w:rsidR="001739F3" w:rsidRPr="003B37F4">
          <w:rPr>
            <w:noProof/>
            <w:webHidden/>
          </w:rPr>
          <w:fldChar w:fldCharType="separate"/>
        </w:r>
        <w:r w:rsidR="003B37F4">
          <w:rPr>
            <w:noProof/>
            <w:webHidden/>
          </w:rPr>
          <w:t>24</w:t>
        </w:r>
        <w:r w:rsidR="001739F3" w:rsidRPr="003B37F4">
          <w:rPr>
            <w:noProof/>
            <w:webHidden/>
          </w:rPr>
          <w:fldChar w:fldCharType="end"/>
        </w:r>
      </w:hyperlink>
    </w:p>
    <w:p w14:paraId="4172C982" w14:textId="59D6B5FD" w:rsidR="002055FE" w:rsidRPr="003B37F4" w:rsidRDefault="00D041C2">
      <w:pPr>
        <w:pStyle w:val="TOC2"/>
        <w:tabs>
          <w:tab w:val="left" w:pos="660"/>
          <w:tab w:val="right" w:leader="dot" w:pos="9350"/>
        </w:tabs>
        <w:rPr>
          <w:rFonts w:asciiTheme="minorHAnsi" w:eastAsiaTheme="minorEastAsia" w:hAnsiTheme="minorHAnsi" w:cstheme="minorBidi"/>
          <w:noProof/>
          <w:sz w:val="22"/>
          <w:szCs w:val="22"/>
        </w:rPr>
      </w:pPr>
      <w:hyperlink w:anchor="_Toc315938445" w:history="1">
        <w:r w:rsidR="002055FE" w:rsidRPr="003B37F4">
          <w:rPr>
            <w:rStyle w:val="Hyperlink"/>
            <w:noProof/>
          </w:rPr>
          <w:t>4.</w:t>
        </w:r>
        <w:r w:rsidR="002055FE" w:rsidRPr="003B37F4">
          <w:rPr>
            <w:rFonts w:asciiTheme="minorHAnsi" w:eastAsiaTheme="minorEastAsia" w:hAnsiTheme="minorHAnsi" w:cstheme="minorBidi"/>
            <w:noProof/>
            <w:sz w:val="22"/>
            <w:szCs w:val="22"/>
          </w:rPr>
          <w:tab/>
        </w:r>
        <w:r w:rsidR="002055FE" w:rsidRPr="003B37F4">
          <w:rPr>
            <w:rStyle w:val="Hyperlink"/>
            <w:caps/>
            <w:noProof/>
          </w:rPr>
          <w:t>Intergovernmental and Levy Funding</w:t>
        </w:r>
        <w:r w:rsidR="002055FE" w:rsidRPr="003B37F4">
          <w:rPr>
            <w:noProof/>
            <w:webHidden/>
          </w:rPr>
          <w:tab/>
        </w:r>
        <w:r w:rsidR="001739F3" w:rsidRPr="003B37F4">
          <w:rPr>
            <w:noProof/>
            <w:webHidden/>
          </w:rPr>
          <w:fldChar w:fldCharType="begin"/>
        </w:r>
        <w:r w:rsidR="002055FE" w:rsidRPr="003B37F4">
          <w:rPr>
            <w:noProof/>
            <w:webHidden/>
          </w:rPr>
          <w:instrText xml:space="preserve"> PAGEREF _Toc315938445 \h </w:instrText>
        </w:r>
        <w:r w:rsidR="001739F3" w:rsidRPr="003B37F4">
          <w:rPr>
            <w:noProof/>
            <w:webHidden/>
          </w:rPr>
        </w:r>
        <w:r w:rsidR="001739F3" w:rsidRPr="003B37F4">
          <w:rPr>
            <w:noProof/>
            <w:webHidden/>
          </w:rPr>
          <w:fldChar w:fldCharType="separate"/>
        </w:r>
        <w:r w:rsidR="003B37F4">
          <w:rPr>
            <w:noProof/>
            <w:webHidden/>
          </w:rPr>
          <w:t>25</w:t>
        </w:r>
        <w:r w:rsidR="001739F3" w:rsidRPr="003B37F4">
          <w:rPr>
            <w:noProof/>
            <w:webHidden/>
          </w:rPr>
          <w:fldChar w:fldCharType="end"/>
        </w:r>
      </w:hyperlink>
    </w:p>
    <w:p w14:paraId="6BA953EB" w14:textId="1F53F952" w:rsidR="002055FE" w:rsidRPr="003B37F4" w:rsidRDefault="00D041C2">
      <w:pPr>
        <w:pStyle w:val="TOC2"/>
        <w:tabs>
          <w:tab w:val="left" w:pos="660"/>
          <w:tab w:val="right" w:leader="dot" w:pos="9350"/>
        </w:tabs>
        <w:rPr>
          <w:rFonts w:asciiTheme="minorHAnsi" w:eastAsiaTheme="minorEastAsia" w:hAnsiTheme="minorHAnsi" w:cstheme="minorBidi"/>
          <w:noProof/>
          <w:sz w:val="22"/>
          <w:szCs w:val="22"/>
        </w:rPr>
      </w:pPr>
      <w:hyperlink w:anchor="_Toc315938446" w:history="1">
        <w:r w:rsidR="002055FE" w:rsidRPr="003B37F4">
          <w:rPr>
            <w:rStyle w:val="Hyperlink"/>
            <w:noProof/>
          </w:rPr>
          <w:t>5.</w:t>
        </w:r>
        <w:r w:rsidR="002055FE" w:rsidRPr="003B37F4">
          <w:rPr>
            <w:rFonts w:asciiTheme="minorHAnsi" w:eastAsiaTheme="minorEastAsia" w:hAnsiTheme="minorHAnsi" w:cstheme="minorBidi"/>
            <w:noProof/>
            <w:sz w:val="22"/>
            <w:szCs w:val="22"/>
          </w:rPr>
          <w:tab/>
        </w:r>
        <w:r w:rsidR="002055FE" w:rsidRPr="003B37F4">
          <w:rPr>
            <w:rStyle w:val="Hyperlink"/>
            <w:noProof/>
          </w:rPr>
          <w:t>RISK MANAGEMENT</w:t>
        </w:r>
        <w:r w:rsidR="002055FE" w:rsidRPr="003B37F4">
          <w:rPr>
            <w:noProof/>
            <w:webHidden/>
          </w:rPr>
          <w:tab/>
        </w:r>
        <w:r w:rsidR="001739F3" w:rsidRPr="003B37F4">
          <w:rPr>
            <w:noProof/>
            <w:webHidden/>
          </w:rPr>
          <w:fldChar w:fldCharType="begin"/>
        </w:r>
        <w:r w:rsidR="002055FE" w:rsidRPr="003B37F4">
          <w:rPr>
            <w:noProof/>
            <w:webHidden/>
          </w:rPr>
          <w:instrText xml:space="preserve"> PAGEREF _Toc315938446 \h </w:instrText>
        </w:r>
        <w:r w:rsidR="001739F3" w:rsidRPr="003B37F4">
          <w:rPr>
            <w:noProof/>
            <w:webHidden/>
          </w:rPr>
        </w:r>
        <w:r w:rsidR="001739F3" w:rsidRPr="003B37F4">
          <w:rPr>
            <w:noProof/>
            <w:webHidden/>
          </w:rPr>
          <w:fldChar w:fldCharType="separate"/>
        </w:r>
        <w:r w:rsidR="003B37F4">
          <w:rPr>
            <w:noProof/>
            <w:webHidden/>
          </w:rPr>
          <w:t>25</w:t>
        </w:r>
        <w:r w:rsidR="001739F3" w:rsidRPr="003B37F4">
          <w:rPr>
            <w:noProof/>
            <w:webHidden/>
          </w:rPr>
          <w:fldChar w:fldCharType="end"/>
        </w:r>
      </w:hyperlink>
    </w:p>
    <w:p w14:paraId="5A055A73" w14:textId="0731AFBE" w:rsidR="002055FE" w:rsidRPr="003B37F4" w:rsidRDefault="00D041C2">
      <w:pPr>
        <w:pStyle w:val="TOC3"/>
        <w:tabs>
          <w:tab w:val="left" w:pos="880"/>
          <w:tab w:val="right" w:leader="dot" w:pos="9350"/>
        </w:tabs>
        <w:rPr>
          <w:rFonts w:asciiTheme="minorHAnsi" w:eastAsiaTheme="minorEastAsia" w:hAnsiTheme="minorHAnsi" w:cstheme="minorBidi"/>
          <w:noProof/>
          <w:sz w:val="22"/>
          <w:szCs w:val="22"/>
        </w:rPr>
      </w:pPr>
      <w:hyperlink w:anchor="_Toc315938447" w:history="1">
        <w:r w:rsidR="002055FE" w:rsidRPr="003B37F4">
          <w:rPr>
            <w:rStyle w:val="Hyperlink"/>
            <w:noProof/>
          </w:rPr>
          <w:t>A.</w:t>
        </w:r>
        <w:r w:rsidR="002055FE" w:rsidRPr="003B37F4">
          <w:rPr>
            <w:rFonts w:asciiTheme="minorHAnsi" w:eastAsiaTheme="minorEastAsia" w:hAnsiTheme="minorHAnsi" w:cstheme="minorBidi"/>
            <w:noProof/>
            <w:sz w:val="22"/>
            <w:szCs w:val="22"/>
          </w:rPr>
          <w:tab/>
        </w:r>
        <w:r w:rsidR="002055FE" w:rsidRPr="003B37F4">
          <w:rPr>
            <w:rStyle w:val="Hyperlink"/>
            <w:noProof/>
          </w:rPr>
          <w:t>Commercial Insurance</w:t>
        </w:r>
        <w:r w:rsidR="002055FE" w:rsidRPr="003B37F4">
          <w:rPr>
            <w:noProof/>
            <w:webHidden/>
          </w:rPr>
          <w:tab/>
        </w:r>
        <w:r w:rsidR="001739F3" w:rsidRPr="003B37F4">
          <w:rPr>
            <w:noProof/>
            <w:webHidden/>
          </w:rPr>
          <w:fldChar w:fldCharType="begin"/>
        </w:r>
        <w:r w:rsidR="002055FE" w:rsidRPr="003B37F4">
          <w:rPr>
            <w:noProof/>
            <w:webHidden/>
          </w:rPr>
          <w:instrText xml:space="preserve"> PAGEREF _Toc315938447 \h </w:instrText>
        </w:r>
        <w:r w:rsidR="001739F3" w:rsidRPr="003B37F4">
          <w:rPr>
            <w:noProof/>
            <w:webHidden/>
          </w:rPr>
        </w:r>
        <w:r w:rsidR="001739F3" w:rsidRPr="003B37F4">
          <w:rPr>
            <w:noProof/>
            <w:webHidden/>
          </w:rPr>
          <w:fldChar w:fldCharType="separate"/>
        </w:r>
        <w:r w:rsidR="003B37F4">
          <w:rPr>
            <w:noProof/>
            <w:webHidden/>
          </w:rPr>
          <w:t>25</w:t>
        </w:r>
        <w:r w:rsidR="001739F3" w:rsidRPr="003B37F4">
          <w:rPr>
            <w:noProof/>
            <w:webHidden/>
          </w:rPr>
          <w:fldChar w:fldCharType="end"/>
        </w:r>
      </w:hyperlink>
    </w:p>
    <w:p w14:paraId="1A6BE631" w14:textId="799071A7" w:rsidR="002055FE" w:rsidRPr="003B37F4" w:rsidRDefault="00D041C2">
      <w:pPr>
        <w:pStyle w:val="TOC3"/>
        <w:tabs>
          <w:tab w:val="left" w:pos="880"/>
          <w:tab w:val="right" w:leader="dot" w:pos="9350"/>
        </w:tabs>
        <w:rPr>
          <w:rFonts w:asciiTheme="minorHAnsi" w:eastAsiaTheme="minorEastAsia" w:hAnsiTheme="minorHAnsi" w:cstheme="minorBidi"/>
          <w:noProof/>
          <w:sz w:val="22"/>
          <w:szCs w:val="22"/>
        </w:rPr>
      </w:pPr>
      <w:hyperlink w:anchor="_Toc315938448" w:history="1">
        <w:r w:rsidR="002055FE" w:rsidRPr="003B37F4">
          <w:rPr>
            <w:rStyle w:val="Hyperlink"/>
            <w:noProof/>
          </w:rPr>
          <w:t>B.</w:t>
        </w:r>
        <w:r w:rsidR="002055FE" w:rsidRPr="003B37F4">
          <w:rPr>
            <w:rFonts w:asciiTheme="minorHAnsi" w:eastAsiaTheme="minorEastAsia" w:hAnsiTheme="minorHAnsi" w:cstheme="minorBidi"/>
            <w:noProof/>
            <w:sz w:val="22"/>
            <w:szCs w:val="22"/>
          </w:rPr>
          <w:tab/>
        </w:r>
        <w:r w:rsidR="002055FE" w:rsidRPr="003B37F4">
          <w:rPr>
            <w:rStyle w:val="Hyperlink"/>
            <w:noProof/>
          </w:rPr>
          <w:t>Risk Pool Membership</w:t>
        </w:r>
        <w:r w:rsidR="002055FE" w:rsidRPr="003B37F4">
          <w:rPr>
            <w:noProof/>
            <w:webHidden/>
          </w:rPr>
          <w:tab/>
        </w:r>
        <w:r w:rsidR="001739F3" w:rsidRPr="003B37F4">
          <w:rPr>
            <w:noProof/>
            <w:webHidden/>
          </w:rPr>
          <w:fldChar w:fldCharType="begin"/>
        </w:r>
        <w:r w:rsidR="002055FE" w:rsidRPr="003B37F4">
          <w:rPr>
            <w:noProof/>
            <w:webHidden/>
          </w:rPr>
          <w:instrText xml:space="preserve"> PAGEREF _Toc315938448 \h </w:instrText>
        </w:r>
        <w:r w:rsidR="001739F3" w:rsidRPr="003B37F4">
          <w:rPr>
            <w:noProof/>
            <w:webHidden/>
          </w:rPr>
        </w:r>
        <w:r w:rsidR="001739F3" w:rsidRPr="003B37F4">
          <w:rPr>
            <w:noProof/>
            <w:webHidden/>
          </w:rPr>
          <w:fldChar w:fldCharType="separate"/>
        </w:r>
        <w:r w:rsidR="003B37F4">
          <w:rPr>
            <w:noProof/>
            <w:webHidden/>
          </w:rPr>
          <w:t>25</w:t>
        </w:r>
        <w:r w:rsidR="001739F3" w:rsidRPr="003B37F4">
          <w:rPr>
            <w:noProof/>
            <w:webHidden/>
          </w:rPr>
          <w:fldChar w:fldCharType="end"/>
        </w:r>
      </w:hyperlink>
    </w:p>
    <w:p w14:paraId="386A954E" w14:textId="01D4E278" w:rsidR="002055FE" w:rsidRPr="003B37F4" w:rsidRDefault="00D041C2">
      <w:pPr>
        <w:pStyle w:val="TOC3"/>
        <w:tabs>
          <w:tab w:val="left" w:pos="880"/>
          <w:tab w:val="right" w:leader="dot" w:pos="9350"/>
        </w:tabs>
        <w:rPr>
          <w:rFonts w:asciiTheme="minorHAnsi" w:eastAsiaTheme="minorEastAsia" w:hAnsiTheme="minorHAnsi" w:cstheme="minorBidi"/>
          <w:noProof/>
          <w:sz w:val="22"/>
          <w:szCs w:val="22"/>
        </w:rPr>
      </w:pPr>
      <w:hyperlink w:anchor="_Toc315938449" w:history="1">
        <w:r w:rsidR="002055FE" w:rsidRPr="003B37F4">
          <w:rPr>
            <w:rStyle w:val="Hyperlink"/>
            <w:noProof/>
          </w:rPr>
          <w:t>C.</w:t>
        </w:r>
        <w:r w:rsidR="002055FE" w:rsidRPr="003B37F4">
          <w:rPr>
            <w:rFonts w:asciiTheme="minorHAnsi" w:eastAsiaTheme="minorEastAsia" w:hAnsiTheme="minorHAnsi" w:cstheme="minorBidi"/>
            <w:noProof/>
            <w:sz w:val="22"/>
            <w:szCs w:val="22"/>
          </w:rPr>
          <w:tab/>
        </w:r>
        <w:r w:rsidR="002055FE" w:rsidRPr="003B37F4">
          <w:rPr>
            <w:rStyle w:val="Hyperlink"/>
            <w:noProof/>
          </w:rPr>
          <w:t>County Commissioner Association of Ohio Workers’ Compensation Group Rating Plan</w:t>
        </w:r>
        <w:r w:rsidR="002055FE" w:rsidRPr="003B37F4">
          <w:rPr>
            <w:noProof/>
            <w:webHidden/>
          </w:rPr>
          <w:tab/>
        </w:r>
        <w:r w:rsidR="001739F3" w:rsidRPr="003B37F4">
          <w:rPr>
            <w:noProof/>
            <w:webHidden/>
          </w:rPr>
          <w:fldChar w:fldCharType="begin"/>
        </w:r>
        <w:r w:rsidR="002055FE" w:rsidRPr="003B37F4">
          <w:rPr>
            <w:noProof/>
            <w:webHidden/>
          </w:rPr>
          <w:instrText xml:space="preserve"> PAGEREF _Toc315938449 \h </w:instrText>
        </w:r>
        <w:r w:rsidR="001739F3" w:rsidRPr="003B37F4">
          <w:rPr>
            <w:noProof/>
            <w:webHidden/>
          </w:rPr>
        </w:r>
        <w:r w:rsidR="001739F3" w:rsidRPr="003B37F4">
          <w:rPr>
            <w:noProof/>
            <w:webHidden/>
          </w:rPr>
          <w:fldChar w:fldCharType="separate"/>
        </w:r>
        <w:r w:rsidR="003B37F4">
          <w:rPr>
            <w:noProof/>
            <w:webHidden/>
          </w:rPr>
          <w:t>27</w:t>
        </w:r>
        <w:r w:rsidR="001739F3" w:rsidRPr="003B37F4">
          <w:rPr>
            <w:noProof/>
            <w:webHidden/>
          </w:rPr>
          <w:fldChar w:fldCharType="end"/>
        </w:r>
      </w:hyperlink>
    </w:p>
    <w:p w14:paraId="6BEEB151" w14:textId="3CBB62E0" w:rsidR="002055FE" w:rsidRPr="003B37F4" w:rsidRDefault="00D041C2">
      <w:pPr>
        <w:pStyle w:val="TOC3"/>
        <w:tabs>
          <w:tab w:val="left" w:pos="880"/>
          <w:tab w:val="right" w:leader="dot" w:pos="9350"/>
        </w:tabs>
        <w:rPr>
          <w:rFonts w:asciiTheme="minorHAnsi" w:eastAsiaTheme="minorEastAsia" w:hAnsiTheme="minorHAnsi" w:cstheme="minorBidi"/>
          <w:noProof/>
          <w:sz w:val="22"/>
          <w:szCs w:val="22"/>
        </w:rPr>
      </w:pPr>
      <w:hyperlink w:anchor="_Toc315938450" w:history="1">
        <w:r w:rsidR="002055FE" w:rsidRPr="003B37F4">
          <w:rPr>
            <w:rStyle w:val="Hyperlink"/>
            <w:noProof/>
          </w:rPr>
          <w:t>D.</w:t>
        </w:r>
        <w:r w:rsidR="002055FE" w:rsidRPr="003B37F4">
          <w:rPr>
            <w:rFonts w:asciiTheme="minorHAnsi" w:eastAsiaTheme="minorEastAsia" w:hAnsiTheme="minorHAnsi" w:cstheme="minorBidi"/>
            <w:noProof/>
            <w:sz w:val="22"/>
            <w:szCs w:val="22"/>
          </w:rPr>
          <w:tab/>
        </w:r>
        <w:r w:rsidR="002055FE" w:rsidRPr="003B37F4">
          <w:rPr>
            <w:rStyle w:val="Hyperlink"/>
            <w:noProof/>
          </w:rPr>
          <w:t>Employee Medical Benefits</w:t>
        </w:r>
        <w:r w:rsidR="002055FE" w:rsidRPr="003B37F4">
          <w:rPr>
            <w:noProof/>
            <w:webHidden/>
          </w:rPr>
          <w:tab/>
        </w:r>
        <w:r w:rsidR="001739F3" w:rsidRPr="003B37F4">
          <w:rPr>
            <w:noProof/>
            <w:webHidden/>
          </w:rPr>
          <w:fldChar w:fldCharType="begin"/>
        </w:r>
        <w:r w:rsidR="002055FE" w:rsidRPr="003B37F4">
          <w:rPr>
            <w:noProof/>
            <w:webHidden/>
          </w:rPr>
          <w:instrText xml:space="preserve"> PAGEREF _Toc315938450 \h </w:instrText>
        </w:r>
        <w:r w:rsidR="001739F3" w:rsidRPr="003B37F4">
          <w:rPr>
            <w:noProof/>
            <w:webHidden/>
          </w:rPr>
        </w:r>
        <w:r w:rsidR="001739F3" w:rsidRPr="003B37F4">
          <w:rPr>
            <w:noProof/>
            <w:webHidden/>
          </w:rPr>
          <w:fldChar w:fldCharType="separate"/>
        </w:r>
        <w:r w:rsidR="003B37F4">
          <w:rPr>
            <w:noProof/>
            <w:webHidden/>
          </w:rPr>
          <w:t>27</w:t>
        </w:r>
        <w:r w:rsidR="001739F3" w:rsidRPr="003B37F4">
          <w:rPr>
            <w:noProof/>
            <w:webHidden/>
          </w:rPr>
          <w:fldChar w:fldCharType="end"/>
        </w:r>
      </w:hyperlink>
    </w:p>
    <w:p w14:paraId="3F15646A" w14:textId="052B0B30" w:rsidR="002055FE" w:rsidRPr="003B37F4" w:rsidRDefault="00D041C2">
      <w:pPr>
        <w:pStyle w:val="TOC2"/>
        <w:tabs>
          <w:tab w:val="left" w:pos="660"/>
          <w:tab w:val="right" w:leader="dot" w:pos="9350"/>
        </w:tabs>
        <w:rPr>
          <w:rFonts w:asciiTheme="minorHAnsi" w:eastAsiaTheme="minorEastAsia" w:hAnsiTheme="minorHAnsi" w:cstheme="minorBidi"/>
          <w:noProof/>
          <w:sz w:val="22"/>
          <w:szCs w:val="22"/>
        </w:rPr>
      </w:pPr>
      <w:hyperlink w:anchor="_Toc315938451" w:history="1">
        <w:r w:rsidR="002055FE" w:rsidRPr="003B37F4">
          <w:rPr>
            <w:rStyle w:val="Hyperlink"/>
            <w:noProof/>
          </w:rPr>
          <w:t>6.</w:t>
        </w:r>
        <w:r w:rsidR="002055FE" w:rsidRPr="003B37F4">
          <w:rPr>
            <w:rFonts w:asciiTheme="minorHAnsi" w:eastAsiaTheme="minorEastAsia" w:hAnsiTheme="minorHAnsi" w:cstheme="minorBidi"/>
            <w:noProof/>
            <w:sz w:val="22"/>
            <w:szCs w:val="22"/>
          </w:rPr>
          <w:tab/>
        </w:r>
        <w:r w:rsidR="002055FE" w:rsidRPr="003B37F4">
          <w:rPr>
            <w:rStyle w:val="Hyperlink"/>
            <w:noProof/>
          </w:rPr>
          <w:t>DEFINED BENEFIT PENSION PLANS</w:t>
        </w:r>
        <w:r w:rsidR="002055FE" w:rsidRPr="003B37F4">
          <w:rPr>
            <w:noProof/>
            <w:webHidden/>
          </w:rPr>
          <w:tab/>
        </w:r>
        <w:r w:rsidR="001739F3" w:rsidRPr="003B37F4">
          <w:rPr>
            <w:noProof/>
            <w:webHidden/>
          </w:rPr>
          <w:fldChar w:fldCharType="begin"/>
        </w:r>
        <w:r w:rsidR="002055FE" w:rsidRPr="003B37F4">
          <w:rPr>
            <w:noProof/>
            <w:webHidden/>
          </w:rPr>
          <w:instrText xml:space="preserve"> PAGEREF _Toc315938451 \h </w:instrText>
        </w:r>
        <w:r w:rsidR="001739F3" w:rsidRPr="003B37F4">
          <w:rPr>
            <w:noProof/>
            <w:webHidden/>
          </w:rPr>
        </w:r>
        <w:r w:rsidR="001739F3" w:rsidRPr="003B37F4">
          <w:rPr>
            <w:noProof/>
            <w:webHidden/>
          </w:rPr>
          <w:fldChar w:fldCharType="separate"/>
        </w:r>
        <w:r w:rsidR="003B37F4">
          <w:rPr>
            <w:noProof/>
            <w:webHidden/>
          </w:rPr>
          <w:t>27</w:t>
        </w:r>
        <w:r w:rsidR="001739F3" w:rsidRPr="003B37F4">
          <w:rPr>
            <w:noProof/>
            <w:webHidden/>
          </w:rPr>
          <w:fldChar w:fldCharType="end"/>
        </w:r>
      </w:hyperlink>
    </w:p>
    <w:p w14:paraId="32BA173E" w14:textId="71124F55" w:rsidR="002055FE" w:rsidRPr="003B37F4" w:rsidRDefault="00D041C2">
      <w:pPr>
        <w:pStyle w:val="TOC2"/>
        <w:tabs>
          <w:tab w:val="left" w:pos="660"/>
          <w:tab w:val="right" w:leader="dot" w:pos="9350"/>
        </w:tabs>
        <w:rPr>
          <w:rFonts w:asciiTheme="minorHAnsi" w:eastAsiaTheme="minorEastAsia" w:hAnsiTheme="minorHAnsi" w:cstheme="minorBidi"/>
          <w:noProof/>
          <w:sz w:val="22"/>
          <w:szCs w:val="22"/>
        </w:rPr>
      </w:pPr>
      <w:hyperlink w:anchor="_Toc315938452" w:history="1">
        <w:r w:rsidR="002055FE" w:rsidRPr="003B37F4">
          <w:rPr>
            <w:rStyle w:val="Hyperlink"/>
            <w:noProof/>
          </w:rPr>
          <w:t>7.</w:t>
        </w:r>
        <w:r w:rsidR="002055FE" w:rsidRPr="003B37F4">
          <w:rPr>
            <w:rFonts w:asciiTheme="minorHAnsi" w:eastAsiaTheme="minorEastAsia" w:hAnsiTheme="minorHAnsi" w:cstheme="minorBidi"/>
            <w:noProof/>
            <w:sz w:val="22"/>
            <w:szCs w:val="22"/>
          </w:rPr>
          <w:tab/>
        </w:r>
        <w:r w:rsidR="002055FE" w:rsidRPr="003B37F4">
          <w:rPr>
            <w:rStyle w:val="Hyperlink"/>
            <w:caps/>
            <w:noProof/>
          </w:rPr>
          <w:t>Post Employment Benefits</w:t>
        </w:r>
        <w:r w:rsidR="002055FE" w:rsidRPr="003B37F4">
          <w:rPr>
            <w:noProof/>
            <w:webHidden/>
          </w:rPr>
          <w:tab/>
        </w:r>
        <w:r w:rsidR="001739F3" w:rsidRPr="003B37F4">
          <w:rPr>
            <w:noProof/>
            <w:webHidden/>
          </w:rPr>
          <w:fldChar w:fldCharType="begin"/>
        </w:r>
        <w:r w:rsidR="002055FE" w:rsidRPr="003B37F4">
          <w:rPr>
            <w:noProof/>
            <w:webHidden/>
          </w:rPr>
          <w:instrText xml:space="preserve"> PAGEREF _Toc315938452 \h </w:instrText>
        </w:r>
        <w:r w:rsidR="001739F3" w:rsidRPr="003B37F4">
          <w:rPr>
            <w:noProof/>
            <w:webHidden/>
          </w:rPr>
        </w:r>
        <w:r w:rsidR="001739F3" w:rsidRPr="003B37F4">
          <w:rPr>
            <w:noProof/>
            <w:webHidden/>
          </w:rPr>
          <w:fldChar w:fldCharType="separate"/>
        </w:r>
        <w:r w:rsidR="003B37F4">
          <w:rPr>
            <w:noProof/>
            <w:webHidden/>
          </w:rPr>
          <w:t>28</w:t>
        </w:r>
        <w:r w:rsidR="001739F3" w:rsidRPr="003B37F4">
          <w:rPr>
            <w:noProof/>
            <w:webHidden/>
          </w:rPr>
          <w:fldChar w:fldCharType="end"/>
        </w:r>
      </w:hyperlink>
    </w:p>
    <w:p w14:paraId="281A6C1C" w14:textId="7EAF8F77" w:rsidR="002055FE" w:rsidRPr="003B37F4" w:rsidRDefault="00D041C2">
      <w:pPr>
        <w:pStyle w:val="TOC3"/>
        <w:tabs>
          <w:tab w:val="left" w:pos="880"/>
          <w:tab w:val="right" w:leader="dot" w:pos="9350"/>
        </w:tabs>
        <w:rPr>
          <w:rFonts w:asciiTheme="minorHAnsi" w:eastAsiaTheme="minorEastAsia" w:hAnsiTheme="minorHAnsi" w:cstheme="minorBidi"/>
          <w:noProof/>
          <w:sz w:val="22"/>
          <w:szCs w:val="22"/>
        </w:rPr>
      </w:pPr>
      <w:hyperlink w:anchor="_Toc315938453" w:history="1">
        <w:r w:rsidR="002055FE" w:rsidRPr="003B37F4">
          <w:rPr>
            <w:rStyle w:val="Hyperlink"/>
            <w:noProof/>
          </w:rPr>
          <w:t>A.</w:t>
        </w:r>
        <w:r w:rsidR="002055FE" w:rsidRPr="003B37F4">
          <w:rPr>
            <w:rFonts w:asciiTheme="minorHAnsi" w:eastAsiaTheme="minorEastAsia" w:hAnsiTheme="minorHAnsi" w:cstheme="minorBidi"/>
            <w:noProof/>
            <w:sz w:val="22"/>
            <w:szCs w:val="22"/>
          </w:rPr>
          <w:tab/>
        </w:r>
        <w:r w:rsidR="002055FE" w:rsidRPr="003B37F4">
          <w:rPr>
            <w:rStyle w:val="Hyperlink"/>
            <w:noProof/>
          </w:rPr>
          <w:t>Ohio Public Employees Retirement System</w:t>
        </w:r>
        <w:r w:rsidR="002055FE" w:rsidRPr="003B37F4">
          <w:rPr>
            <w:noProof/>
            <w:webHidden/>
          </w:rPr>
          <w:tab/>
        </w:r>
        <w:r w:rsidR="001739F3" w:rsidRPr="003B37F4">
          <w:rPr>
            <w:noProof/>
            <w:webHidden/>
          </w:rPr>
          <w:fldChar w:fldCharType="begin"/>
        </w:r>
        <w:r w:rsidR="002055FE" w:rsidRPr="003B37F4">
          <w:rPr>
            <w:noProof/>
            <w:webHidden/>
          </w:rPr>
          <w:instrText xml:space="preserve"> PAGEREF _Toc315938453 \h </w:instrText>
        </w:r>
        <w:r w:rsidR="001739F3" w:rsidRPr="003B37F4">
          <w:rPr>
            <w:noProof/>
            <w:webHidden/>
          </w:rPr>
        </w:r>
        <w:r w:rsidR="001739F3" w:rsidRPr="003B37F4">
          <w:rPr>
            <w:noProof/>
            <w:webHidden/>
          </w:rPr>
          <w:fldChar w:fldCharType="separate"/>
        </w:r>
        <w:r w:rsidR="003B37F4">
          <w:rPr>
            <w:noProof/>
            <w:webHidden/>
          </w:rPr>
          <w:t>28</w:t>
        </w:r>
        <w:r w:rsidR="001739F3" w:rsidRPr="003B37F4">
          <w:rPr>
            <w:noProof/>
            <w:webHidden/>
          </w:rPr>
          <w:fldChar w:fldCharType="end"/>
        </w:r>
      </w:hyperlink>
    </w:p>
    <w:p w14:paraId="18B225B2" w14:textId="4B4E1F0B" w:rsidR="002055FE" w:rsidRPr="003B37F4" w:rsidRDefault="00D041C2">
      <w:pPr>
        <w:pStyle w:val="TOC2"/>
        <w:tabs>
          <w:tab w:val="left" w:pos="660"/>
          <w:tab w:val="right" w:leader="dot" w:pos="9350"/>
        </w:tabs>
        <w:rPr>
          <w:rFonts w:asciiTheme="minorHAnsi" w:eastAsiaTheme="minorEastAsia" w:hAnsiTheme="minorHAnsi" w:cstheme="minorBidi"/>
          <w:noProof/>
          <w:sz w:val="22"/>
          <w:szCs w:val="22"/>
        </w:rPr>
      </w:pPr>
      <w:hyperlink w:anchor="_Toc315938454" w:history="1">
        <w:r w:rsidR="002055FE" w:rsidRPr="003B37F4">
          <w:rPr>
            <w:rStyle w:val="Hyperlink"/>
            <w:noProof/>
          </w:rPr>
          <w:t>8.</w:t>
        </w:r>
        <w:r w:rsidR="002055FE" w:rsidRPr="003B37F4">
          <w:rPr>
            <w:rFonts w:asciiTheme="minorHAnsi" w:eastAsiaTheme="minorEastAsia" w:hAnsiTheme="minorHAnsi" w:cstheme="minorBidi"/>
            <w:noProof/>
            <w:sz w:val="22"/>
            <w:szCs w:val="22"/>
          </w:rPr>
          <w:tab/>
        </w:r>
        <w:r w:rsidR="002055FE" w:rsidRPr="003B37F4">
          <w:rPr>
            <w:rStyle w:val="Hyperlink"/>
            <w:noProof/>
          </w:rPr>
          <w:t>CONTINGENT LIABILITIES</w:t>
        </w:r>
        <w:r w:rsidR="002055FE" w:rsidRPr="003B37F4">
          <w:rPr>
            <w:noProof/>
            <w:webHidden/>
          </w:rPr>
          <w:tab/>
        </w:r>
        <w:r w:rsidR="001739F3" w:rsidRPr="003B37F4">
          <w:rPr>
            <w:noProof/>
            <w:webHidden/>
          </w:rPr>
          <w:fldChar w:fldCharType="begin"/>
        </w:r>
        <w:r w:rsidR="002055FE" w:rsidRPr="003B37F4">
          <w:rPr>
            <w:noProof/>
            <w:webHidden/>
          </w:rPr>
          <w:instrText xml:space="preserve"> PAGEREF _Toc315938454 \h </w:instrText>
        </w:r>
        <w:r w:rsidR="001739F3" w:rsidRPr="003B37F4">
          <w:rPr>
            <w:noProof/>
            <w:webHidden/>
          </w:rPr>
        </w:r>
        <w:r w:rsidR="001739F3" w:rsidRPr="003B37F4">
          <w:rPr>
            <w:noProof/>
            <w:webHidden/>
          </w:rPr>
          <w:fldChar w:fldCharType="separate"/>
        </w:r>
        <w:r w:rsidR="003B37F4">
          <w:rPr>
            <w:noProof/>
            <w:webHidden/>
          </w:rPr>
          <w:t>29</w:t>
        </w:r>
        <w:r w:rsidR="001739F3" w:rsidRPr="003B37F4">
          <w:rPr>
            <w:noProof/>
            <w:webHidden/>
          </w:rPr>
          <w:fldChar w:fldCharType="end"/>
        </w:r>
      </w:hyperlink>
    </w:p>
    <w:p w14:paraId="055CE7FF" w14:textId="0516F6D3" w:rsidR="002055FE" w:rsidRPr="003B37F4" w:rsidRDefault="00D041C2">
      <w:pPr>
        <w:pStyle w:val="TOC2"/>
        <w:tabs>
          <w:tab w:val="left" w:pos="660"/>
          <w:tab w:val="right" w:leader="dot" w:pos="9350"/>
        </w:tabs>
        <w:rPr>
          <w:rFonts w:asciiTheme="minorHAnsi" w:eastAsiaTheme="minorEastAsia" w:hAnsiTheme="minorHAnsi" w:cstheme="minorBidi"/>
          <w:noProof/>
          <w:sz w:val="22"/>
          <w:szCs w:val="22"/>
        </w:rPr>
      </w:pPr>
      <w:hyperlink w:anchor="_Toc315938455" w:history="1">
        <w:r w:rsidR="002055FE" w:rsidRPr="003B37F4">
          <w:rPr>
            <w:rStyle w:val="Hyperlink"/>
            <w:noProof/>
          </w:rPr>
          <w:t>9.</w:t>
        </w:r>
        <w:r w:rsidR="002055FE" w:rsidRPr="003B37F4">
          <w:rPr>
            <w:rFonts w:asciiTheme="minorHAnsi" w:eastAsiaTheme="minorEastAsia" w:hAnsiTheme="minorHAnsi" w:cstheme="minorBidi"/>
            <w:noProof/>
            <w:sz w:val="22"/>
            <w:szCs w:val="22"/>
          </w:rPr>
          <w:tab/>
        </w:r>
        <w:r w:rsidR="002055FE" w:rsidRPr="003B37F4">
          <w:rPr>
            <w:rStyle w:val="Hyperlink"/>
            <w:noProof/>
          </w:rPr>
          <w:t>CONTRACTUAL OBLIGATIONS</w:t>
        </w:r>
        <w:r w:rsidR="002055FE" w:rsidRPr="003B37F4">
          <w:rPr>
            <w:noProof/>
            <w:webHidden/>
          </w:rPr>
          <w:tab/>
        </w:r>
        <w:r w:rsidR="001739F3" w:rsidRPr="003B37F4">
          <w:rPr>
            <w:noProof/>
            <w:webHidden/>
          </w:rPr>
          <w:fldChar w:fldCharType="begin"/>
        </w:r>
        <w:r w:rsidR="002055FE" w:rsidRPr="003B37F4">
          <w:rPr>
            <w:noProof/>
            <w:webHidden/>
          </w:rPr>
          <w:instrText xml:space="preserve"> PAGEREF _Toc315938455 \h </w:instrText>
        </w:r>
        <w:r w:rsidR="001739F3" w:rsidRPr="003B37F4">
          <w:rPr>
            <w:noProof/>
            <w:webHidden/>
          </w:rPr>
        </w:r>
        <w:r w:rsidR="001739F3" w:rsidRPr="003B37F4">
          <w:rPr>
            <w:noProof/>
            <w:webHidden/>
          </w:rPr>
          <w:fldChar w:fldCharType="separate"/>
        </w:r>
        <w:r w:rsidR="003B37F4">
          <w:rPr>
            <w:noProof/>
            <w:webHidden/>
          </w:rPr>
          <w:t>29</w:t>
        </w:r>
        <w:r w:rsidR="001739F3" w:rsidRPr="003B37F4">
          <w:rPr>
            <w:noProof/>
            <w:webHidden/>
          </w:rPr>
          <w:fldChar w:fldCharType="end"/>
        </w:r>
      </w:hyperlink>
    </w:p>
    <w:p w14:paraId="583CDC4E" w14:textId="77777777" w:rsidR="002055FE" w:rsidRPr="003B37F4" w:rsidRDefault="001739F3">
      <w:pPr>
        <w:widowControl/>
        <w:autoSpaceDE/>
        <w:autoSpaceDN/>
        <w:adjustRightInd/>
        <w:spacing w:after="200"/>
        <w:rPr>
          <w:rFonts w:asciiTheme="majorHAnsi" w:eastAsiaTheme="majorEastAsia" w:hAnsiTheme="majorHAnsi" w:cstheme="majorBidi"/>
          <w:b/>
          <w:bCs/>
          <w:color w:val="365F91" w:themeColor="accent1" w:themeShade="BF"/>
          <w:sz w:val="28"/>
          <w:szCs w:val="28"/>
        </w:rPr>
      </w:pPr>
      <w:r w:rsidRPr="003B37F4">
        <w:rPr>
          <w:rFonts w:asciiTheme="majorHAnsi" w:eastAsiaTheme="majorEastAsia" w:hAnsiTheme="majorHAnsi" w:cstheme="majorBidi"/>
          <w:b/>
          <w:bCs/>
          <w:color w:val="365F91" w:themeColor="accent1" w:themeShade="BF"/>
          <w:sz w:val="28"/>
          <w:szCs w:val="28"/>
        </w:rPr>
        <w:fldChar w:fldCharType="end"/>
      </w:r>
    </w:p>
    <w:p w14:paraId="31DC7ECB" w14:textId="77777777" w:rsidR="00CB12C8" w:rsidRPr="003B37F4" w:rsidRDefault="002055FE">
      <w:pPr>
        <w:widowControl/>
        <w:autoSpaceDE/>
        <w:autoSpaceDN/>
        <w:adjustRightInd/>
        <w:spacing w:after="200"/>
        <w:rPr>
          <w:rFonts w:asciiTheme="majorHAnsi" w:eastAsiaTheme="majorEastAsia" w:hAnsiTheme="majorHAnsi" w:cstheme="majorBidi"/>
          <w:b/>
          <w:bCs/>
          <w:color w:val="365F91" w:themeColor="accent1" w:themeShade="BF"/>
          <w:sz w:val="28"/>
          <w:szCs w:val="28"/>
        </w:rPr>
      </w:pPr>
      <w:r w:rsidRPr="003B37F4">
        <w:rPr>
          <w:rFonts w:asciiTheme="majorHAnsi" w:eastAsiaTheme="majorEastAsia" w:hAnsiTheme="majorHAnsi" w:cstheme="majorBidi"/>
          <w:b/>
          <w:bCs/>
          <w:color w:val="365F91" w:themeColor="accent1" w:themeShade="BF"/>
          <w:sz w:val="28"/>
          <w:szCs w:val="28"/>
        </w:rPr>
        <w:br w:type="page"/>
      </w:r>
    </w:p>
    <w:p w14:paraId="72F8FF25" w14:textId="77777777" w:rsidR="00D040D1" w:rsidRPr="003B37F4" w:rsidRDefault="00184E6A" w:rsidP="00184E6A">
      <w:pPr>
        <w:pStyle w:val="Heading1"/>
      </w:pPr>
      <w:bookmarkStart w:id="0" w:name="_Toc284945502"/>
      <w:bookmarkStart w:id="1" w:name="_Toc315938394"/>
      <w:r w:rsidRPr="003B37F4">
        <w:lastRenderedPageBreak/>
        <w:t>MANAGEMENT’S DISCUSSION AND ANALYSIS</w:t>
      </w:r>
      <w:bookmarkEnd w:id="0"/>
      <w:bookmarkEnd w:id="1"/>
      <w:r w:rsidRPr="003B37F4">
        <w:t xml:space="preserve"> </w:t>
      </w:r>
    </w:p>
    <w:p w14:paraId="556120A2" w14:textId="45846876" w:rsidR="00184E6A" w:rsidRPr="003B37F4" w:rsidRDefault="00184E6A" w:rsidP="00D040D1">
      <w:pPr>
        <w:pStyle w:val="Subtitle"/>
      </w:pPr>
      <w:r w:rsidRPr="003B37F4">
        <w:t xml:space="preserve">FOR THE YEAR ENDED DECEMBER 31, </w:t>
      </w:r>
      <w:r w:rsidR="00B15BEF" w:rsidRPr="003B37F4">
        <w:t>20</w:t>
      </w:r>
      <w:r w:rsidR="001C2410" w:rsidRPr="003B37F4">
        <w:t>2</w:t>
      </w:r>
      <w:r w:rsidR="009D769D" w:rsidRPr="003B37F4">
        <w:t>2</w:t>
      </w:r>
      <w:r w:rsidR="00D040D1" w:rsidRPr="003B37F4">
        <w:t xml:space="preserve"> (Unaudited)</w:t>
      </w:r>
    </w:p>
    <w:p w14:paraId="0A2DB9CD" w14:textId="77777777" w:rsidR="00184E6A" w:rsidRPr="003B37F4" w:rsidRDefault="00184E6A" w:rsidP="0041766F">
      <w:pPr>
        <w:jc w:val="both"/>
        <w:rPr>
          <w:rFonts w:cs="Arial"/>
          <w:szCs w:val="20"/>
        </w:rPr>
      </w:pPr>
    </w:p>
    <w:p w14:paraId="3744F519" w14:textId="259B9E6A" w:rsidR="0059689B" w:rsidRPr="003B37F4" w:rsidRDefault="0041766F" w:rsidP="0041766F">
      <w:pPr>
        <w:jc w:val="both"/>
        <w:rPr>
          <w:rFonts w:cs="Arial"/>
          <w:szCs w:val="20"/>
        </w:rPr>
      </w:pPr>
      <w:r w:rsidRPr="003B37F4">
        <w:rPr>
          <w:rFonts w:cs="Arial"/>
          <w:szCs w:val="20"/>
        </w:rPr>
        <w:t xml:space="preserve">This discussion and analysis of the Champaign Health District’s financial performance provides an overall review of the Health District’s financial activities for the year ended December 31, </w:t>
      </w:r>
      <w:r w:rsidR="005A3182" w:rsidRPr="003B37F4">
        <w:rPr>
          <w:rFonts w:cs="Arial"/>
          <w:szCs w:val="20"/>
        </w:rPr>
        <w:t>20</w:t>
      </w:r>
      <w:r w:rsidR="001C2410" w:rsidRPr="003B37F4">
        <w:rPr>
          <w:rFonts w:cs="Arial"/>
          <w:szCs w:val="20"/>
        </w:rPr>
        <w:t>2</w:t>
      </w:r>
      <w:r w:rsidR="000F2D67" w:rsidRPr="003B37F4">
        <w:rPr>
          <w:rFonts w:cs="Arial"/>
          <w:szCs w:val="20"/>
        </w:rPr>
        <w:t>2.</w:t>
      </w:r>
    </w:p>
    <w:p w14:paraId="7E73D3EC" w14:textId="77777777" w:rsidR="0059689B" w:rsidRPr="003B37F4" w:rsidRDefault="0059689B" w:rsidP="0041766F">
      <w:pPr>
        <w:jc w:val="both"/>
        <w:rPr>
          <w:rFonts w:cs="Arial"/>
          <w:szCs w:val="20"/>
        </w:rPr>
      </w:pPr>
    </w:p>
    <w:p w14:paraId="619BC4B1" w14:textId="77777777" w:rsidR="0059689B" w:rsidRPr="003B37F4" w:rsidRDefault="0059689B" w:rsidP="0041766F">
      <w:pPr>
        <w:jc w:val="both"/>
        <w:rPr>
          <w:rFonts w:cs="Arial"/>
          <w:szCs w:val="20"/>
        </w:rPr>
      </w:pPr>
    </w:p>
    <w:p w14:paraId="173DA3E0" w14:textId="3C960071" w:rsidR="0041766F" w:rsidRPr="003B37F4" w:rsidRDefault="0041766F" w:rsidP="0041766F">
      <w:pPr>
        <w:jc w:val="both"/>
        <w:rPr>
          <w:rFonts w:cs="Arial"/>
          <w:szCs w:val="20"/>
        </w:rPr>
      </w:pPr>
      <w:r w:rsidRPr="003B37F4">
        <w:rPr>
          <w:rFonts w:cs="Arial"/>
          <w:szCs w:val="20"/>
        </w:rPr>
        <w:t>, within the limitations of the Health District’s cash basis of accounting. The intent of this discussion and analysis is to look at the Health District’s financial performance as a whole.  Readers should also review the basic financial statements and notes to enhance their understanding of the Health District’s financial performance.</w:t>
      </w:r>
    </w:p>
    <w:p w14:paraId="32C476E8" w14:textId="77777777" w:rsidR="0041766F" w:rsidRPr="003B37F4" w:rsidRDefault="00184E6A" w:rsidP="00184E6A">
      <w:pPr>
        <w:pStyle w:val="Heading2"/>
      </w:pPr>
      <w:bookmarkStart w:id="2" w:name="_Toc284945503"/>
      <w:bookmarkStart w:id="3" w:name="_Toc315938395"/>
      <w:r w:rsidRPr="003B37F4">
        <w:t>H</w:t>
      </w:r>
      <w:r w:rsidR="0041766F" w:rsidRPr="003B37F4">
        <w:t>ighlights</w:t>
      </w:r>
      <w:bookmarkEnd w:id="2"/>
      <w:bookmarkEnd w:id="3"/>
    </w:p>
    <w:p w14:paraId="36127467" w14:textId="77777777" w:rsidR="0041766F" w:rsidRPr="003B37F4" w:rsidRDefault="0041766F" w:rsidP="0041766F">
      <w:pPr>
        <w:jc w:val="both"/>
        <w:rPr>
          <w:rFonts w:eastAsiaTheme="minorEastAsia" w:cs="Arial"/>
          <w:szCs w:val="20"/>
          <w:lang w:eastAsia="ja-JP"/>
        </w:rPr>
      </w:pPr>
    </w:p>
    <w:p w14:paraId="7D087040" w14:textId="53EF47F4" w:rsidR="0041766F" w:rsidRPr="003B37F4" w:rsidRDefault="0041766F" w:rsidP="0041766F">
      <w:pPr>
        <w:jc w:val="both"/>
        <w:rPr>
          <w:rFonts w:cs="Arial"/>
          <w:szCs w:val="20"/>
        </w:rPr>
      </w:pPr>
      <w:r w:rsidRPr="003B37F4">
        <w:rPr>
          <w:rFonts w:cs="Arial"/>
          <w:szCs w:val="20"/>
        </w:rPr>
        <w:t xml:space="preserve">Key highlights for </w:t>
      </w:r>
      <w:r w:rsidR="005A3182" w:rsidRPr="003B37F4">
        <w:rPr>
          <w:rFonts w:cs="Arial"/>
          <w:szCs w:val="20"/>
        </w:rPr>
        <w:t>20</w:t>
      </w:r>
      <w:r w:rsidR="001C2410" w:rsidRPr="003B37F4">
        <w:rPr>
          <w:rFonts w:cs="Arial"/>
          <w:szCs w:val="20"/>
        </w:rPr>
        <w:t>2</w:t>
      </w:r>
      <w:r w:rsidR="00324C9F" w:rsidRPr="003B37F4">
        <w:rPr>
          <w:rFonts w:cs="Arial"/>
          <w:szCs w:val="20"/>
        </w:rPr>
        <w:t>2</w:t>
      </w:r>
      <w:r w:rsidRPr="003B37F4">
        <w:rPr>
          <w:rFonts w:cs="Arial"/>
          <w:szCs w:val="20"/>
        </w:rPr>
        <w:t xml:space="preserve"> are as follows:</w:t>
      </w:r>
    </w:p>
    <w:p w14:paraId="47C7497A" w14:textId="77777777" w:rsidR="0041766F" w:rsidRPr="003B37F4" w:rsidRDefault="0041766F" w:rsidP="0041766F">
      <w:pPr>
        <w:jc w:val="both"/>
        <w:rPr>
          <w:rFonts w:cs="Arial"/>
          <w:szCs w:val="20"/>
        </w:rPr>
      </w:pPr>
    </w:p>
    <w:p w14:paraId="435A9B78" w14:textId="2526E25A" w:rsidR="00655F0D" w:rsidRPr="003B37F4" w:rsidRDefault="0041766F" w:rsidP="00655F0D">
      <w:pPr>
        <w:widowControl/>
        <w:numPr>
          <w:ilvl w:val="0"/>
          <w:numId w:val="1"/>
        </w:numPr>
        <w:autoSpaceDE/>
        <w:autoSpaceDN/>
        <w:adjustRightInd/>
        <w:jc w:val="both"/>
        <w:rPr>
          <w:rFonts w:cs="Arial"/>
          <w:szCs w:val="20"/>
        </w:rPr>
      </w:pPr>
      <w:r w:rsidRPr="003B37F4">
        <w:rPr>
          <w:rFonts w:cs="Arial"/>
          <w:szCs w:val="20"/>
        </w:rPr>
        <w:t xml:space="preserve">Net assets from all governmental activities </w:t>
      </w:r>
      <w:r w:rsidR="00E56E20" w:rsidRPr="003B37F4">
        <w:rPr>
          <w:rFonts w:cs="Arial"/>
          <w:szCs w:val="20"/>
        </w:rPr>
        <w:t>in</w:t>
      </w:r>
      <w:r w:rsidR="00CB026B" w:rsidRPr="003B37F4">
        <w:rPr>
          <w:rFonts w:cs="Arial"/>
          <w:szCs w:val="20"/>
        </w:rPr>
        <w:t>creased</w:t>
      </w:r>
      <w:r w:rsidRPr="003B37F4">
        <w:rPr>
          <w:rFonts w:cs="Arial"/>
          <w:szCs w:val="20"/>
        </w:rPr>
        <w:t xml:space="preserve"> by </w:t>
      </w:r>
      <w:r w:rsidR="00717BDA" w:rsidRPr="003B37F4">
        <w:rPr>
          <w:rFonts w:cs="Arial"/>
          <w:szCs w:val="20"/>
        </w:rPr>
        <w:t>$</w:t>
      </w:r>
      <w:r w:rsidR="006147A2" w:rsidRPr="003B37F4">
        <w:rPr>
          <w:rFonts w:cs="Arial"/>
          <w:szCs w:val="20"/>
        </w:rPr>
        <w:t>45,213</w:t>
      </w:r>
      <w:r w:rsidR="00D0379F" w:rsidRPr="003B37F4">
        <w:rPr>
          <w:rFonts w:cs="Arial"/>
          <w:szCs w:val="20"/>
        </w:rPr>
        <w:t>.</w:t>
      </w:r>
    </w:p>
    <w:p w14:paraId="060B35BF" w14:textId="77777777" w:rsidR="0041766F" w:rsidRPr="003B37F4" w:rsidRDefault="0041766F" w:rsidP="0041766F">
      <w:pPr>
        <w:ind w:left="360"/>
        <w:jc w:val="both"/>
        <w:rPr>
          <w:rFonts w:cs="Arial"/>
          <w:szCs w:val="20"/>
        </w:rPr>
      </w:pPr>
    </w:p>
    <w:p w14:paraId="77198A1E" w14:textId="7A94B782" w:rsidR="0041766F" w:rsidRPr="003B37F4" w:rsidRDefault="0041766F" w:rsidP="0041766F">
      <w:pPr>
        <w:widowControl/>
        <w:numPr>
          <w:ilvl w:val="0"/>
          <w:numId w:val="4"/>
        </w:numPr>
        <w:autoSpaceDE/>
        <w:autoSpaceDN/>
        <w:adjustRightInd/>
        <w:jc w:val="both"/>
        <w:rPr>
          <w:rFonts w:cs="Arial"/>
          <w:b/>
          <w:szCs w:val="20"/>
        </w:rPr>
      </w:pPr>
      <w:r w:rsidRPr="003B37F4">
        <w:rPr>
          <w:rFonts w:cs="Arial"/>
          <w:szCs w:val="20"/>
        </w:rPr>
        <w:t>Program specific receipts in the form of charges for services, operating grants and contributions, and contract services comprise the largest percentage of the Health Distr</w:t>
      </w:r>
      <w:r w:rsidR="00952C6A" w:rsidRPr="003B37F4">
        <w:rPr>
          <w:rFonts w:cs="Arial"/>
          <w:szCs w:val="20"/>
        </w:rPr>
        <w:t>ict’s receipts, making up over</w:t>
      </w:r>
      <w:r w:rsidRPr="003B37F4">
        <w:rPr>
          <w:rFonts w:cs="Arial"/>
          <w:szCs w:val="20"/>
        </w:rPr>
        <w:t xml:space="preserve"> </w:t>
      </w:r>
      <w:r w:rsidR="00FB0CA5" w:rsidRPr="003B37F4">
        <w:rPr>
          <w:rFonts w:cs="Arial"/>
          <w:szCs w:val="20"/>
        </w:rPr>
        <w:t>60</w:t>
      </w:r>
      <w:r w:rsidRPr="003B37F4">
        <w:rPr>
          <w:rFonts w:cs="Arial"/>
          <w:szCs w:val="20"/>
        </w:rPr>
        <w:t xml:space="preserve"> percent of all the dollars coming into the District.  </w:t>
      </w:r>
    </w:p>
    <w:p w14:paraId="29D4A7C5" w14:textId="77777777" w:rsidR="0041497A" w:rsidRPr="003B37F4" w:rsidRDefault="0041497A" w:rsidP="0041497A">
      <w:pPr>
        <w:widowControl/>
        <w:autoSpaceDE/>
        <w:autoSpaceDN/>
        <w:adjustRightInd/>
        <w:jc w:val="both"/>
        <w:rPr>
          <w:rFonts w:cs="Arial"/>
          <w:b/>
          <w:szCs w:val="20"/>
        </w:rPr>
      </w:pPr>
    </w:p>
    <w:p w14:paraId="5E35089B" w14:textId="386D8F91" w:rsidR="0041766F" w:rsidRPr="003B37F4" w:rsidRDefault="0041766F" w:rsidP="00D0379F">
      <w:pPr>
        <w:pStyle w:val="ListParagraph"/>
        <w:numPr>
          <w:ilvl w:val="0"/>
          <w:numId w:val="4"/>
        </w:numPr>
        <w:jc w:val="both"/>
        <w:rPr>
          <w:rFonts w:cs="Arial"/>
          <w:szCs w:val="20"/>
        </w:rPr>
      </w:pPr>
      <w:r w:rsidRPr="003B37F4">
        <w:rPr>
          <w:rFonts w:cs="Arial"/>
          <w:szCs w:val="20"/>
        </w:rPr>
        <w:t xml:space="preserve">The Health District had </w:t>
      </w:r>
      <w:r w:rsidR="00DF01E9" w:rsidRPr="003B37F4">
        <w:rPr>
          <w:rFonts w:cs="Arial"/>
          <w:szCs w:val="20"/>
        </w:rPr>
        <w:t>$1,</w:t>
      </w:r>
      <w:r w:rsidR="004A6D95" w:rsidRPr="003B37F4">
        <w:rPr>
          <w:rFonts w:cs="Arial"/>
          <w:szCs w:val="20"/>
        </w:rPr>
        <w:t>5</w:t>
      </w:r>
      <w:r w:rsidR="00E56E20" w:rsidRPr="003B37F4">
        <w:rPr>
          <w:rFonts w:cs="Arial"/>
          <w:szCs w:val="20"/>
        </w:rPr>
        <w:t>14,744</w:t>
      </w:r>
      <w:r w:rsidR="00D0379F" w:rsidRPr="003B37F4">
        <w:rPr>
          <w:rFonts w:cs="Arial"/>
          <w:szCs w:val="20"/>
        </w:rPr>
        <w:t xml:space="preserve"> </w:t>
      </w:r>
      <w:r w:rsidRPr="003B37F4">
        <w:rPr>
          <w:rFonts w:cs="Arial"/>
          <w:szCs w:val="20"/>
        </w:rPr>
        <w:t xml:space="preserve">in disbursements during </w:t>
      </w:r>
      <w:r w:rsidR="005A3182" w:rsidRPr="003B37F4">
        <w:rPr>
          <w:rFonts w:cs="Arial"/>
          <w:szCs w:val="20"/>
        </w:rPr>
        <w:t>20</w:t>
      </w:r>
      <w:r w:rsidR="00B61B01" w:rsidRPr="003B37F4">
        <w:rPr>
          <w:rFonts w:cs="Arial"/>
          <w:szCs w:val="20"/>
        </w:rPr>
        <w:t>2</w:t>
      </w:r>
      <w:r w:rsidR="00E56E20" w:rsidRPr="003B37F4">
        <w:rPr>
          <w:rFonts w:cs="Arial"/>
          <w:szCs w:val="20"/>
        </w:rPr>
        <w:t>2</w:t>
      </w:r>
      <w:r w:rsidRPr="003B37F4">
        <w:rPr>
          <w:rFonts w:cs="Arial"/>
          <w:szCs w:val="20"/>
        </w:rPr>
        <w:t>.</w:t>
      </w:r>
    </w:p>
    <w:p w14:paraId="33980C8F" w14:textId="77777777" w:rsidR="0041766F" w:rsidRPr="003B37F4" w:rsidRDefault="0041766F" w:rsidP="0041766F">
      <w:pPr>
        <w:ind w:left="1080"/>
        <w:jc w:val="both"/>
        <w:rPr>
          <w:rFonts w:cs="Arial"/>
          <w:szCs w:val="20"/>
        </w:rPr>
      </w:pPr>
    </w:p>
    <w:p w14:paraId="6B269327" w14:textId="2E83F863" w:rsidR="00174380" w:rsidRPr="003B37F4" w:rsidRDefault="00717BDA" w:rsidP="00184E6A">
      <w:pPr>
        <w:widowControl/>
        <w:numPr>
          <w:ilvl w:val="0"/>
          <w:numId w:val="2"/>
        </w:numPr>
        <w:autoSpaceDE/>
        <w:autoSpaceDN/>
        <w:adjustRightInd/>
        <w:jc w:val="both"/>
      </w:pPr>
      <w:r w:rsidRPr="003B37F4">
        <w:rPr>
          <w:rFonts w:cs="Arial"/>
          <w:szCs w:val="20"/>
        </w:rPr>
        <w:t xml:space="preserve">The Health District </w:t>
      </w:r>
      <w:r w:rsidR="00DF01E9" w:rsidRPr="003B37F4">
        <w:rPr>
          <w:rFonts w:cs="Arial"/>
          <w:szCs w:val="20"/>
        </w:rPr>
        <w:t>had $1,</w:t>
      </w:r>
      <w:r w:rsidR="00E56E20" w:rsidRPr="003B37F4">
        <w:rPr>
          <w:rFonts w:cs="Arial"/>
          <w:szCs w:val="20"/>
        </w:rPr>
        <w:t>550,255</w:t>
      </w:r>
      <w:r w:rsidR="002923D8" w:rsidRPr="003B37F4">
        <w:rPr>
          <w:rFonts w:cs="Arial"/>
          <w:szCs w:val="20"/>
        </w:rPr>
        <w:t xml:space="preserve"> in receipts during 20</w:t>
      </w:r>
      <w:r w:rsidR="00B61B01" w:rsidRPr="003B37F4">
        <w:rPr>
          <w:rFonts w:cs="Arial"/>
          <w:szCs w:val="20"/>
        </w:rPr>
        <w:t>2</w:t>
      </w:r>
      <w:r w:rsidR="00E56E20" w:rsidRPr="003B37F4">
        <w:rPr>
          <w:rFonts w:cs="Arial"/>
          <w:szCs w:val="20"/>
        </w:rPr>
        <w:t>2</w:t>
      </w:r>
      <w:r w:rsidR="00620ED2" w:rsidRPr="003B37F4">
        <w:rPr>
          <w:rFonts w:cs="Arial"/>
          <w:szCs w:val="20"/>
        </w:rPr>
        <w:t>.</w:t>
      </w:r>
    </w:p>
    <w:p w14:paraId="41E82AC4" w14:textId="77777777" w:rsidR="00174380" w:rsidRPr="003B37F4" w:rsidRDefault="00174380" w:rsidP="00174380">
      <w:pPr>
        <w:widowControl/>
        <w:autoSpaceDE/>
        <w:autoSpaceDN/>
        <w:adjustRightInd/>
        <w:ind w:left="720"/>
        <w:jc w:val="both"/>
      </w:pPr>
      <w:bookmarkStart w:id="4" w:name="_Toc284945504"/>
    </w:p>
    <w:p w14:paraId="02BD74C1" w14:textId="77777777" w:rsidR="0041766F" w:rsidRPr="003B37F4" w:rsidRDefault="0041766F" w:rsidP="001B4555">
      <w:pPr>
        <w:pStyle w:val="Heading2"/>
      </w:pPr>
      <w:bookmarkStart w:id="5" w:name="_Toc315938396"/>
      <w:r w:rsidRPr="003B37F4">
        <w:t>Using the Basic Financial Statements</w:t>
      </w:r>
      <w:bookmarkEnd w:id="4"/>
      <w:bookmarkEnd w:id="5"/>
    </w:p>
    <w:p w14:paraId="3934B188" w14:textId="77777777" w:rsidR="0041766F" w:rsidRPr="003B37F4" w:rsidRDefault="0041766F" w:rsidP="0041766F">
      <w:pPr>
        <w:jc w:val="both"/>
        <w:rPr>
          <w:rFonts w:cs="Arial"/>
          <w:szCs w:val="20"/>
        </w:rPr>
      </w:pPr>
    </w:p>
    <w:p w14:paraId="358B88B3" w14:textId="77777777" w:rsidR="0041766F" w:rsidRPr="003B37F4" w:rsidRDefault="0041766F" w:rsidP="0041766F">
      <w:pPr>
        <w:jc w:val="both"/>
        <w:rPr>
          <w:rFonts w:cs="Arial"/>
          <w:szCs w:val="20"/>
        </w:rPr>
      </w:pPr>
      <w:r w:rsidRPr="003B37F4">
        <w:rPr>
          <w:rFonts w:cs="Arial"/>
          <w:szCs w:val="20"/>
        </w:rPr>
        <w:t>This annual report is presented in a format consistent with the presentation requirements of Governmental Accounting Standards Board Statement No. 34, as applicable to the Health District’s cash basis of accounting.</w:t>
      </w:r>
    </w:p>
    <w:p w14:paraId="450800C9" w14:textId="77777777" w:rsidR="0041766F" w:rsidRPr="003B37F4" w:rsidRDefault="0041766F" w:rsidP="00184E6A">
      <w:pPr>
        <w:pStyle w:val="Heading2"/>
      </w:pPr>
      <w:bookmarkStart w:id="6" w:name="_Toc284945505"/>
      <w:bookmarkStart w:id="7" w:name="_Toc315938397"/>
      <w:r w:rsidRPr="003B37F4">
        <w:t>Report Components</w:t>
      </w:r>
      <w:bookmarkEnd w:id="6"/>
      <w:bookmarkEnd w:id="7"/>
    </w:p>
    <w:p w14:paraId="5F12FCFA" w14:textId="77777777" w:rsidR="0041766F" w:rsidRPr="003B37F4" w:rsidRDefault="0041766F" w:rsidP="0041766F">
      <w:pPr>
        <w:jc w:val="both"/>
        <w:rPr>
          <w:rFonts w:cs="Arial"/>
          <w:b/>
          <w:szCs w:val="20"/>
        </w:rPr>
      </w:pPr>
    </w:p>
    <w:p w14:paraId="767FFA7A" w14:textId="77777777" w:rsidR="0041766F" w:rsidRPr="003B37F4" w:rsidRDefault="0041766F" w:rsidP="0041766F">
      <w:pPr>
        <w:jc w:val="both"/>
        <w:rPr>
          <w:rFonts w:cs="Arial"/>
          <w:szCs w:val="20"/>
        </w:rPr>
      </w:pPr>
      <w:r w:rsidRPr="003B37F4">
        <w:rPr>
          <w:rFonts w:cs="Arial"/>
          <w:szCs w:val="20"/>
        </w:rPr>
        <w:t>The statement of net assets and the statement of activities provide information about the cash activities of the Health District as a whole.</w:t>
      </w:r>
    </w:p>
    <w:p w14:paraId="26B91D99" w14:textId="77777777" w:rsidR="0041766F" w:rsidRPr="003B37F4" w:rsidRDefault="0041766F" w:rsidP="0041766F">
      <w:pPr>
        <w:jc w:val="both"/>
        <w:rPr>
          <w:rFonts w:cs="Arial"/>
          <w:szCs w:val="20"/>
        </w:rPr>
      </w:pPr>
    </w:p>
    <w:p w14:paraId="26B1330D" w14:textId="77777777" w:rsidR="0041766F" w:rsidRPr="003B37F4" w:rsidRDefault="0041766F" w:rsidP="0041766F">
      <w:pPr>
        <w:jc w:val="both"/>
        <w:rPr>
          <w:rFonts w:cs="Arial"/>
          <w:szCs w:val="20"/>
        </w:rPr>
      </w:pPr>
      <w:r w:rsidRPr="003B37F4">
        <w:rPr>
          <w:rFonts w:cs="Arial"/>
          <w:szCs w:val="20"/>
        </w:rPr>
        <w:t xml:space="preserve">Fund financial statements provide a greater level of detail.  Funds are created and maintained on the financial records of the Health District </w:t>
      </w:r>
      <w:proofErr w:type="gramStart"/>
      <w:r w:rsidRPr="003B37F4">
        <w:rPr>
          <w:rFonts w:cs="Arial"/>
          <w:szCs w:val="20"/>
        </w:rPr>
        <w:t>as a way to</w:t>
      </w:r>
      <w:proofErr w:type="gramEnd"/>
      <w:r w:rsidRPr="003B37F4">
        <w:rPr>
          <w:rFonts w:cs="Arial"/>
          <w:szCs w:val="20"/>
        </w:rPr>
        <w:t xml:space="preserve"> segregate money whose use is restricted to a particular specified purpose. These statements present financial information by fund, presenting funds with the largest balances or most activity in separate columns.</w:t>
      </w:r>
      <w:r w:rsidR="00254678" w:rsidRPr="003B37F4">
        <w:rPr>
          <w:rFonts w:cs="Arial"/>
          <w:szCs w:val="20"/>
        </w:rPr>
        <w:t xml:space="preserve">  </w:t>
      </w:r>
    </w:p>
    <w:p w14:paraId="77004399" w14:textId="77777777" w:rsidR="00131C75" w:rsidRPr="003B37F4" w:rsidRDefault="00131C75" w:rsidP="0041766F">
      <w:pPr>
        <w:jc w:val="both"/>
        <w:rPr>
          <w:rFonts w:cs="Arial"/>
          <w:szCs w:val="20"/>
        </w:rPr>
      </w:pPr>
    </w:p>
    <w:p w14:paraId="602E4887" w14:textId="77777777" w:rsidR="0041766F" w:rsidRPr="003B37F4" w:rsidRDefault="0041766F" w:rsidP="0041766F">
      <w:pPr>
        <w:jc w:val="both"/>
        <w:rPr>
          <w:rFonts w:cs="Arial"/>
          <w:szCs w:val="20"/>
        </w:rPr>
      </w:pPr>
      <w:r w:rsidRPr="003B37F4">
        <w:rPr>
          <w:rFonts w:cs="Arial"/>
          <w:szCs w:val="20"/>
        </w:rPr>
        <w:t>The notes to the financial statements are an integral part of the government-wide and fund financial statements and provide expanded explanation and detail regarding the information reported in the statements.</w:t>
      </w:r>
    </w:p>
    <w:p w14:paraId="6AA15E4C" w14:textId="77777777" w:rsidR="0041766F" w:rsidRPr="003B37F4" w:rsidRDefault="0041766F" w:rsidP="0041766F">
      <w:pPr>
        <w:jc w:val="both"/>
        <w:rPr>
          <w:rFonts w:cs="Arial"/>
          <w:szCs w:val="20"/>
        </w:rPr>
        <w:sectPr w:rsidR="0041766F" w:rsidRPr="003B37F4" w:rsidSect="00017A80">
          <w:headerReference w:type="default" r:id="rId9"/>
          <w:footerReference w:type="default" r:id="rId10"/>
          <w:pgSz w:w="12240" w:h="15840" w:code="1"/>
          <w:pgMar w:top="720" w:right="1440" w:bottom="720" w:left="1440" w:header="720" w:footer="720" w:gutter="0"/>
          <w:cols w:space="720"/>
          <w:titlePg/>
          <w:docGrid w:linePitch="360"/>
        </w:sectPr>
      </w:pPr>
    </w:p>
    <w:p w14:paraId="4BAB8218" w14:textId="77777777" w:rsidR="0041766F" w:rsidRPr="003B37F4" w:rsidRDefault="0041766F" w:rsidP="00184E6A">
      <w:pPr>
        <w:pStyle w:val="Heading2"/>
      </w:pPr>
      <w:bookmarkStart w:id="8" w:name="_Toc284945506"/>
      <w:bookmarkStart w:id="9" w:name="_Toc315938398"/>
      <w:r w:rsidRPr="003B37F4">
        <w:lastRenderedPageBreak/>
        <w:t>Basis of Accounting</w:t>
      </w:r>
      <w:bookmarkEnd w:id="8"/>
      <w:bookmarkEnd w:id="9"/>
    </w:p>
    <w:p w14:paraId="0DAAAF8F" w14:textId="77777777" w:rsidR="0041766F" w:rsidRPr="003B37F4" w:rsidRDefault="0041766F" w:rsidP="0041766F">
      <w:pPr>
        <w:jc w:val="both"/>
        <w:rPr>
          <w:rFonts w:cs="Arial"/>
          <w:szCs w:val="20"/>
        </w:rPr>
      </w:pPr>
    </w:p>
    <w:p w14:paraId="681DB672" w14:textId="77777777" w:rsidR="0041766F" w:rsidRPr="003B37F4" w:rsidRDefault="0041766F" w:rsidP="0041766F">
      <w:pPr>
        <w:jc w:val="both"/>
        <w:rPr>
          <w:rFonts w:cs="Arial"/>
          <w:szCs w:val="20"/>
        </w:rPr>
      </w:pPr>
      <w:r w:rsidRPr="003B37F4">
        <w:rPr>
          <w:rFonts w:cs="Arial"/>
          <w:szCs w:val="20"/>
        </w:rPr>
        <w:t>The basis of accounting is a set of guidelines that determine when financial events are recorded.  The Health District has elected to present its financial statements on a cash basis of accounting.  This basis of accounting is a basis of accounting other than the generally accepted accounting principles.  Under the Health District’s cash basis of accounting, receipts and disbursements are recorded when cash is received or paid.</w:t>
      </w:r>
    </w:p>
    <w:p w14:paraId="56ED27C7" w14:textId="77777777" w:rsidR="0041766F" w:rsidRPr="003B37F4" w:rsidRDefault="0041766F" w:rsidP="0041766F">
      <w:pPr>
        <w:jc w:val="both"/>
        <w:rPr>
          <w:rFonts w:cs="Arial"/>
          <w:szCs w:val="20"/>
        </w:rPr>
      </w:pPr>
    </w:p>
    <w:p w14:paraId="631BDA80" w14:textId="77777777" w:rsidR="0041766F" w:rsidRPr="003B37F4" w:rsidRDefault="0041766F" w:rsidP="0041766F">
      <w:pPr>
        <w:jc w:val="both"/>
        <w:rPr>
          <w:rFonts w:cs="Arial"/>
          <w:szCs w:val="20"/>
        </w:rPr>
      </w:pPr>
      <w:r w:rsidRPr="003B37F4">
        <w:rPr>
          <w:rFonts w:cs="Arial"/>
          <w:szCs w:val="20"/>
        </w:rPr>
        <w:t xml:space="preserve">As a result of using the cash basis of accounting, certain </w:t>
      </w:r>
      <w:proofErr w:type="gramStart"/>
      <w:r w:rsidRPr="003B37F4">
        <w:rPr>
          <w:rFonts w:cs="Arial"/>
          <w:szCs w:val="20"/>
        </w:rPr>
        <w:t>assets</w:t>
      </w:r>
      <w:proofErr w:type="gramEnd"/>
      <w:r w:rsidRPr="003B37F4">
        <w:rPr>
          <w:rFonts w:cs="Arial"/>
          <w:szCs w:val="20"/>
        </w:rPr>
        <w:t xml:space="preserve"> and their related revenues (such as accounts receivable) and certain liabilities and their related expenses (such as accounts payable) are not recorded in the financial statements.  Therefore, when reviewing the financial information and discussion within this report, the reader must keep in mind the limitations resulting from the use of the cash basis of accounting.</w:t>
      </w:r>
    </w:p>
    <w:p w14:paraId="3E9A5F34" w14:textId="77777777" w:rsidR="0041766F" w:rsidRPr="003B37F4" w:rsidRDefault="0041766F" w:rsidP="00184E6A">
      <w:pPr>
        <w:pStyle w:val="Heading2"/>
      </w:pPr>
      <w:bookmarkStart w:id="10" w:name="_Toc284945507"/>
      <w:bookmarkStart w:id="11" w:name="_Toc315938399"/>
      <w:r w:rsidRPr="003B37F4">
        <w:t>Reporting the Health District as a Whole</w:t>
      </w:r>
      <w:bookmarkEnd w:id="10"/>
      <w:bookmarkEnd w:id="11"/>
    </w:p>
    <w:p w14:paraId="43432DA6" w14:textId="77777777" w:rsidR="0041766F" w:rsidRPr="003B37F4" w:rsidRDefault="0041766F" w:rsidP="0041766F">
      <w:pPr>
        <w:jc w:val="both"/>
        <w:rPr>
          <w:rFonts w:cs="Arial"/>
          <w:szCs w:val="20"/>
        </w:rPr>
      </w:pPr>
    </w:p>
    <w:p w14:paraId="033B1865" w14:textId="77777777" w:rsidR="0041766F" w:rsidRPr="003B37F4" w:rsidRDefault="0041766F" w:rsidP="0041766F">
      <w:pPr>
        <w:pStyle w:val="PlainText"/>
        <w:jc w:val="both"/>
        <w:rPr>
          <w:rFonts w:ascii="Arial" w:hAnsi="Arial" w:cs="Arial"/>
        </w:rPr>
      </w:pPr>
      <w:r w:rsidRPr="003B37F4">
        <w:rPr>
          <w:rFonts w:ascii="Arial" w:hAnsi="Arial" w:cs="Arial"/>
        </w:rPr>
        <w:t xml:space="preserve">The Champaign Health District is established to exercise the rights, privileges, and responsibilities conveyed to it by the constitution and laws of the State of Ohio.  The Health District is directed by a five-member Board of Health that appoints a Health Commissioner as its Executive Officer.  The Health District’s services include communicable disease investigations, immunization clinics, inspections, public health nursing services, </w:t>
      </w:r>
      <w:r w:rsidR="00C26A86" w:rsidRPr="003B37F4">
        <w:rPr>
          <w:rFonts w:ascii="Arial" w:hAnsi="Arial" w:cs="Arial"/>
        </w:rPr>
        <w:t xml:space="preserve">vital statistics, </w:t>
      </w:r>
      <w:r w:rsidRPr="003B37F4">
        <w:rPr>
          <w:rFonts w:ascii="Arial" w:hAnsi="Arial" w:cs="Arial"/>
        </w:rPr>
        <w:t>and the issuance of health-related licenses and permits.  The Health District also acts upon various complaints made by the public concerning the health and welfare of the county.</w:t>
      </w:r>
    </w:p>
    <w:p w14:paraId="0D237B10" w14:textId="77777777" w:rsidR="0041766F" w:rsidRPr="003B37F4" w:rsidRDefault="0041766F" w:rsidP="0041766F">
      <w:pPr>
        <w:pStyle w:val="PlainText"/>
        <w:jc w:val="both"/>
        <w:rPr>
          <w:rFonts w:ascii="Arial" w:hAnsi="Arial" w:cs="Arial"/>
        </w:rPr>
      </w:pPr>
    </w:p>
    <w:p w14:paraId="2534DA46" w14:textId="77777777" w:rsidR="0041766F" w:rsidRPr="003B37F4" w:rsidRDefault="0041766F" w:rsidP="0041766F">
      <w:pPr>
        <w:pStyle w:val="PlainText"/>
        <w:jc w:val="both"/>
        <w:rPr>
          <w:rFonts w:ascii="Arial" w:hAnsi="Arial" w:cs="Arial"/>
        </w:rPr>
      </w:pPr>
      <w:r w:rsidRPr="003B37F4">
        <w:rPr>
          <w:rFonts w:ascii="Arial" w:hAnsi="Arial" w:cs="Arial"/>
        </w:rPr>
        <w:t xml:space="preserve">The statement of net assets and the statement of activities reflect how the Health District did financially during </w:t>
      </w:r>
      <w:r w:rsidR="005A3182" w:rsidRPr="003B37F4">
        <w:rPr>
          <w:rFonts w:ascii="Arial" w:hAnsi="Arial" w:cs="Arial"/>
        </w:rPr>
        <w:t>201</w:t>
      </w:r>
      <w:r w:rsidR="00FB2186" w:rsidRPr="003B37F4">
        <w:rPr>
          <w:rFonts w:ascii="Arial" w:hAnsi="Arial" w:cs="Arial"/>
        </w:rPr>
        <w:t>8</w:t>
      </w:r>
      <w:r w:rsidRPr="003B37F4">
        <w:rPr>
          <w:rFonts w:ascii="Arial" w:hAnsi="Arial" w:cs="Arial"/>
        </w:rPr>
        <w:t xml:space="preserve"> within the limitations of cash basis accounting.  The statement of net assets presents the cash balances of the governmental activities of the Health District at year-end.  The statement of activities compares cash disbursements with program receipts for each governmental program.  Program receipts include charges paid by the recipient of the program’s services, and grants and contributions restricted to meeting the operational requirements of a particular program.  General receipts are all receipts not classified as program receipts.  The comparison of cash disbursements with program receipts identifies how each governmental function draws from the Health District’s general receipts.</w:t>
      </w:r>
    </w:p>
    <w:p w14:paraId="77A68882" w14:textId="77777777" w:rsidR="0041766F" w:rsidRPr="003B37F4" w:rsidRDefault="0041766F" w:rsidP="0041766F">
      <w:pPr>
        <w:pStyle w:val="PlainText"/>
        <w:jc w:val="both"/>
        <w:rPr>
          <w:rFonts w:ascii="Arial" w:hAnsi="Arial" w:cs="Arial"/>
        </w:rPr>
      </w:pPr>
    </w:p>
    <w:p w14:paraId="4ACFD30F" w14:textId="77777777" w:rsidR="0041766F" w:rsidRPr="003B37F4" w:rsidRDefault="0041766F" w:rsidP="0041766F">
      <w:pPr>
        <w:pStyle w:val="PlainText"/>
        <w:jc w:val="both"/>
        <w:rPr>
          <w:rFonts w:ascii="Arial" w:hAnsi="Arial" w:cs="Arial"/>
        </w:rPr>
      </w:pPr>
      <w:r w:rsidRPr="003B37F4">
        <w:rPr>
          <w:rFonts w:ascii="Arial" w:hAnsi="Arial" w:cs="Arial"/>
        </w:rPr>
        <w:t>These statements report the Health District’s cash position and the changes in cash position.  Keeping in mind the limitations of the cash basis of accounting, you can think of these changes as one way to measure the Health District’s financial health.  Over time, increases or decreases in the Health District’s cash position is one indicator of whether the Health District’s financial health is improving or deteriorating.</w:t>
      </w:r>
    </w:p>
    <w:p w14:paraId="21E0B101" w14:textId="77777777" w:rsidR="0041766F" w:rsidRPr="003B37F4" w:rsidRDefault="0041766F" w:rsidP="0041766F">
      <w:pPr>
        <w:pStyle w:val="PlainText"/>
        <w:jc w:val="both"/>
        <w:rPr>
          <w:rFonts w:ascii="Arial" w:hAnsi="Arial" w:cs="Arial"/>
        </w:rPr>
      </w:pPr>
    </w:p>
    <w:p w14:paraId="43F342F0" w14:textId="77777777" w:rsidR="0041766F" w:rsidRPr="003B37F4" w:rsidRDefault="0041766F" w:rsidP="0041766F">
      <w:pPr>
        <w:pStyle w:val="PlainText"/>
        <w:jc w:val="both"/>
        <w:rPr>
          <w:rFonts w:ascii="Arial" w:hAnsi="Arial" w:cs="Arial"/>
        </w:rPr>
      </w:pPr>
      <w:r w:rsidRPr="003B37F4">
        <w:rPr>
          <w:rFonts w:ascii="Arial" w:hAnsi="Arial" w:cs="Arial"/>
        </w:rPr>
        <w:t>When evaluating the Health District’s financial condition, you should also consider other non-financial factors.  Such as, the extent of the Health District’s debt obligations, the reliance on non-local financial resources for operations, and the need for continued growth in in-side millage as a local revenue source.</w:t>
      </w:r>
    </w:p>
    <w:p w14:paraId="665BC747" w14:textId="77777777" w:rsidR="0041766F" w:rsidRPr="003B37F4" w:rsidRDefault="0041766F" w:rsidP="0041766F">
      <w:pPr>
        <w:pStyle w:val="PlainText"/>
        <w:jc w:val="both"/>
        <w:rPr>
          <w:rFonts w:ascii="Arial" w:hAnsi="Arial" w:cs="Arial"/>
        </w:rPr>
      </w:pPr>
    </w:p>
    <w:p w14:paraId="69F8E3AE" w14:textId="77777777" w:rsidR="0041766F" w:rsidRPr="003B37F4" w:rsidRDefault="0041766F" w:rsidP="0041766F">
      <w:pPr>
        <w:pStyle w:val="PlainText"/>
        <w:jc w:val="both"/>
        <w:rPr>
          <w:rFonts w:ascii="Arial" w:hAnsi="Arial" w:cs="Arial"/>
        </w:rPr>
      </w:pPr>
      <w:r w:rsidRPr="003B37F4">
        <w:rPr>
          <w:rFonts w:ascii="Arial" w:hAnsi="Arial" w:cs="Arial"/>
        </w:rPr>
        <w:t>In the statement of net assets and the statement of activities, all Health District activities are reported as governmental.  State and federal grants, fees, and inside millage finance most of these activities.  Benefits provided through governmental activities are not necessarily paid for by the people receiving them; particularly in the personal health services division.  The Health District has no business-type activities.</w:t>
      </w:r>
    </w:p>
    <w:p w14:paraId="0C4371D7" w14:textId="77777777" w:rsidR="0041766F" w:rsidRPr="003B37F4" w:rsidRDefault="0041766F" w:rsidP="0041766F">
      <w:pPr>
        <w:pStyle w:val="PlainText"/>
        <w:jc w:val="both"/>
        <w:rPr>
          <w:rFonts w:ascii="Arial" w:hAnsi="Arial" w:cs="Arial"/>
        </w:rPr>
      </w:pPr>
    </w:p>
    <w:p w14:paraId="1273009A" w14:textId="77777777" w:rsidR="0041766F" w:rsidRPr="003B37F4" w:rsidRDefault="0041766F" w:rsidP="0041766F">
      <w:pPr>
        <w:pStyle w:val="PlainText"/>
        <w:jc w:val="both"/>
        <w:rPr>
          <w:rFonts w:ascii="Arial" w:hAnsi="Arial" w:cs="Arial"/>
        </w:rPr>
        <w:sectPr w:rsidR="0041766F" w:rsidRPr="003B37F4" w:rsidSect="00017A80">
          <w:headerReference w:type="default" r:id="rId11"/>
          <w:pgSz w:w="12240" w:h="15840" w:code="1"/>
          <w:pgMar w:top="720" w:right="1440" w:bottom="720" w:left="1440" w:header="720" w:footer="720" w:gutter="0"/>
          <w:cols w:space="720"/>
          <w:docGrid w:linePitch="360"/>
        </w:sectPr>
      </w:pPr>
    </w:p>
    <w:p w14:paraId="60EACFF6" w14:textId="77777777" w:rsidR="0041766F" w:rsidRPr="003B37F4" w:rsidRDefault="0041766F" w:rsidP="00184E6A">
      <w:pPr>
        <w:pStyle w:val="Heading2"/>
      </w:pPr>
      <w:bookmarkStart w:id="12" w:name="_Toc284945508"/>
      <w:bookmarkStart w:id="13" w:name="_Toc315938400"/>
      <w:r w:rsidRPr="003B37F4">
        <w:lastRenderedPageBreak/>
        <w:t>Reporting the District’s Most Significant Funds</w:t>
      </w:r>
      <w:bookmarkEnd w:id="12"/>
      <w:bookmarkEnd w:id="13"/>
    </w:p>
    <w:p w14:paraId="2B38FD2A" w14:textId="77777777" w:rsidR="0041766F" w:rsidRPr="003B37F4" w:rsidRDefault="0041766F" w:rsidP="0041766F">
      <w:pPr>
        <w:pStyle w:val="PlainText"/>
        <w:rPr>
          <w:rFonts w:ascii="Arial" w:hAnsi="Arial" w:cs="Arial"/>
        </w:rPr>
      </w:pPr>
    </w:p>
    <w:p w14:paraId="44550435" w14:textId="77777777" w:rsidR="0041766F" w:rsidRPr="003B37F4" w:rsidRDefault="0041766F" w:rsidP="0041766F">
      <w:pPr>
        <w:pStyle w:val="PlainText"/>
        <w:jc w:val="both"/>
        <w:rPr>
          <w:rFonts w:ascii="Arial" w:hAnsi="Arial" w:cs="Arial"/>
        </w:rPr>
      </w:pPr>
      <w:r w:rsidRPr="003B37F4">
        <w:rPr>
          <w:rFonts w:ascii="Arial" w:hAnsi="Arial" w:cs="Arial"/>
        </w:rPr>
        <w:t>Fund financial statements provide detailed information about the Health District’s major funds – not the Health District as a whole.  The Health District establishes separate funds to better manage its many activities and to help demonstrate that restricted funds are being spent for the intended purpose.</w:t>
      </w:r>
    </w:p>
    <w:p w14:paraId="0C8F37D4" w14:textId="77777777" w:rsidR="0041766F" w:rsidRPr="003B37F4" w:rsidRDefault="0041766F" w:rsidP="0041766F">
      <w:pPr>
        <w:pStyle w:val="PlainText"/>
        <w:jc w:val="both"/>
        <w:rPr>
          <w:rFonts w:ascii="Arial" w:hAnsi="Arial" w:cs="Arial"/>
        </w:rPr>
      </w:pPr>
    </w:p>
    <w:p w14:paraId="6D5D79EF" w14:textId="77777777" w:rsidR="0041766F" w:rsidRPr="003B37F4" w:rsidRDefault="0041766F" w:rsidP="0041766F">
      <w:pPr>
        <w:pStyle w:val="PlainText"/>
        <w:jc w:val="both"/>
        <w:rPr>
          <w:rFonts w:ascii="Arial" w:hAnsi="Arial" w:cs="Arial"/>
        </w:rPr>
      </w:pPr>
      <w:r w:rsidRPr="003B37F4">
        <w:rPr>
          <w:rFonts w:ascii="Arial" w:hAnsi="Arial" w:cs="Arial"/>
        </w:rPr>
        <w:t xml:space="preserve">All of the Health District’s activities are reported in Governmental funds.  The Governmental fund financial statements provide a detailed view of the Health District’s governmental operations and the basic services it provides.  Governmental fund information helps determine whether there are </w:t>
      </w:r>
      <w:proofErr w:type="gramStart"/>
      <w:r w:rsidRPr="003B37F4">
        <w:rPr>
          <w:rFonts w:ascii="Arial" w:hAnsi="Arial" w:cs="Arial"/>
        </w:rPr>
        <w:t>more or less financial</w:t>
      </w:r>
      <w:proofErr w:type="gramEnd"/>
      <w:r w:rsidRPr="003B37F4">
        <w:rPr>
          <w:rFonts w:ascii="Arial" w:hAnsi="Arial" w:cs="Arial"/>
        </w:rPr>
        <w:t xml:space="preserve"> resources that can be spent to finance the Health District’s programs.  The Health District’s significant Governmental funds are presented on the financial statements in separate columns.</w:t>
      </w:r>
    </w:p>
    <w:p w14:paraId="361BAF53" w14:textId="77777777" w:rsidR="0041766F" w:rsidRPr="003B37F4" w:rsidRDefault="0041766F" w:rsidP="0041766F">
      <w:pPr>
        <w:pStyle w:val="PlainText"/>
        <w:jc w:val="both"/>
        <w:rPr>
          <w:rFonts w:ascii="Arial" w:hAnsi="Arial" w:cs="Arial"/>
        </w:rPr>
      </w:pPr>
    </w:p>
    <w:p w14:paraId="5F21D366" w14:textId="77777777" w:rsidR="0041766F" w:rsidRPr="003B37F4" w:rsidRDefault="0041766F" w:rsidP="0041766F">
      <w:pPr>
        <w:pStyle w:val="PlainText"/>
        <w:jc w:val="both"/>
        <w:rPr>
          <w:rFonts w:ascii="Arial" w:hAnsi="Arial" w:cs="Arial"/>
        </w:rPr>
      </w:pPr>
      <w:r w:rsidRPr="003B37F4">
        <w:rPr>
          <w:rFonts w:ascii="Arial" w:hAnsi="Arial" w:cs="Arial"/>
        </w:rPr>
        <w:t xml:space="preserve">The information for non-major funds (funds whose activity or balances are not large enough to warrant separate reporting) is combined and presented in total in a single column.  The Health District’s major Governmental funds are the General Fund </w:t>
      </w:r>
      <w:r w:rsidR="00126394" w:rsidRPr="003B37F4">
        <w:rPr>
          <w:rFonts w:ascii="Arial" w:hAnsi="Arial" w:cs="Arial"/>
        </w:rPr>
        <w:t xml:space="preserve">and </w:t>
      </w:r>
      <w:r w:rsidRPr="003B37F4">
        <w:rPr>
          <w:rFonts w:ascii="Arial" w:hAnsi="Arial" w:cs="Arial"/>
        </w:rPr>
        <w:t xml:space="preserve">the </w:t>
      </w:r>
      <w:r w:rsidR="00254678" w:rsidRPr="003B37F4">
        <w:rPr>
          <w:rFonts w:ascii="Arial" w:hAnsi="Arial" w:cs="Arial"/>
        </w:rPr>
        <w:t>WIC</w:t>
      </w:r>
      <w:r w:rsidRPr="003B37F4">
        <w:rPr>
          <w:rFonts w:ascii="Arial" w:hAnsi="Arial" w:cs="Arial"/>
        </w:rPr>
        <w:t xml:space="preserve"> Fund.  The programs reported in Governmental funds are closely related to those reported in the Governmental Activities section of the entity-wide statements.</w:t>
      </w:r>
    </w:p>
    <w:p w14:paraId="2FB7DE80" w14:textId="77777777" w:rsidR="0041766F" w:rsidRPr="003B37F4" w:rsidRDefault="0041766F" w:rsidP="00184E6A">
      <w:pPr>
        <w:pStyle w:val="Heading2"/>
      </w:pPr>
      <w:bookmarkStart w:id="14" w:name="_Toc284945509"/>
      <w:bookmarkStart w:id="15" w:name="_Toc315938401"/>
      <w:r w:rsidRPr="003B37F4">
        <w:t>The Health District as a Whole</w:t>
      </w:r>
      <w:bookmarkEnd w:id="14"/>
      <w:bookmarkEnd w:id="15"/>
    </w:p>
    <w:p w14:paraId="3BDFA44D" w14:textId="77777777" w:rsidR="0041766F" w:rsidRPr="003B37F4" w:rsidRDefault="0041766F" w:rsidP="0041766F">
      <w:pPr>
        <w:pStyle w:val="PlainText"/>
        <w:jc w:val="both"/>
        <w:rPr>
          <w:rFonts w:ascii="Arial" w:hAnsi="Arial" w:cs="Arial"/>
        </w:rPr>
      </w:pPr>
    </w:p>
    <w:p w14:paraId="0DAEE29C" w14:textId="55454BE0" w:rsidR="0041766F" w:rsidRPr="003B37F4" w:rsidRDefault="0041766F" w:rsidP="0041766F">
      <w:pPr>
        <w:jc w:val="both"/>
        <w:rPr>
          <w:rFonts w:cs="Arial"/>
          <w:szCs w:val="20"/>
        </w:rPr>
      </w:pPr>
      <w:bookmarkStart w:id="16" w:name="_Toc284945510"/>
      <w:bookmarkStart w:id="17" w:name="_Toc315938402"/>
      <w:r w:rsidRPr="003B37F4">
        <w:rPr>
          <w:rStyle w:val="Heading3Char"/>
        </w:rPr>
        <w:t xml:space="preserve">Table 1 </w:t>
      </w:r>
      <w:r w:rsidR="00184E6A" w:rsidRPr="003B37F4">
        <w:rPr>
          <w:rStyle w:val="Heading3Char"/>
        </w:rPr>
        <w:t>Net Assets</w:t>
      </w:r>
      <w:bookmarkEnd w:id="16"/>
      <w:bookmarkEnd w:id="17"/>
      <w:r w:rsidR="00184E6A" w:rsidRPr="003B37F4">
        <w:rPr>
          <w:rFonts w:cs="Arial"/>
          <w:szCs w:val="20"/>
        </w:rPr>
        <w:t xml:space="preserve"> </w:t>
      </w:r>
      <w:r w:rsidRPr="003B37F4">
        <w:rPr>
          <w:rFonts w:cs="Arial"/>
          <w:szCs w:val="20"/>
        </w:rPr>
        <w:t xml:space="preserve">provides a summary of the Health District’s net assets for </w:t>
      </w:r>
      <w:r w:rsidR="005A3182" w:rsidRPr="003B37F4">
        <w:rPr>
          <w:rFonts w:cs="Arial"/>
          <w:szCs w:val="20"/>
        </w:rPr>
        <w:t>20</w:t>
      </w:r>
      <w:r w:rsidR="00E67D0D" w:rsidRPr="003B37F4">
        <w:rPr>
          <w:rFonts w:cs="Arial"/>
          <w:szCs w:val="20"/>
        </w:rPr>
        <w:t>2</w:t>
      </w:r>
      <w:r w:rsidR="0094068D" w:rsidRPr="003B37F4">
        <w:rPr>
          <w:rFonts w:cs="Arial"/>
          <w:szCs w:val="20"/>
        </w:rPr>
        <w:t>2</w:t>
      </w:r>
      <w:r w:rsidR="0090612D" w:rsidRPr="003B37F4">
        <w:rPr>
          <w:rFonts w:cs="Arial"/>
          <w:szCs w:val="20"/>
        </w:rPr>
        <w:t xml:space="preserve"> </w:t>
      </w:r>
      <w:r w:rsidRPr="003B37F4">
        <w:rPr>
          <w:rFonts w:cs="Arial"/>
          <w:szCs w:val="20"/>
        </w:rPr>
        <w:t>on a cash basis.  A comparative analysis will be presented.</w:t>
      </w:r>
    </w:p>
    <w:p w14:paraId="09383CD6" w14:textId="77777777" w:rsidR="0041766F" w:rsidRPr="003B37F4" w:rsidRDefault="0041766F" w:rsidP="0041766F">
      <w:pPr>
        <w:jc w:val="both"/>
        <w:rPr>
          <w:rFonts w:cs="Arial"/>
          <w:szCs w:val="20"/>
        </w:rPr>
      </w:pPr>
    </w:p>
    <w:tbl>
      <w:tblPr>
        <w:tblW w:w="5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3007"/>
        <w:gridCol w:w="1128"/>
        <w:gridCol w:w="78"/>
        <w:gridCol w:w="1128"/>
      </w:tblGrid>
      <w:tr w:rsidR="0041766F" w:rsidRPr="003B37F4" w14:paraId="2745E948" w14:textId="77777777" w:rsidTr="00215D7A">
        <w:trPr>
          <w:jc w:val="center"/>
        </w:trPr>
        <w:tc>
          <w:tcPr>
            <w:tcW w:w="5341" w:type="dxa"/>
            <w:gridSpan w:val="4"/>
            <w:shd w:val="clear" w:color="auto" w:fill="auto"/>
            <w:noWrap/>
            <w:vAlign w:val="bottom"/>
          </w:tcPr>
          <w:p w14:paraId="4D82A021" w14:textId="77777777" w:rsidR="0041766F" w:rsidRPr="003B37F4" w:rsidRDefault="0041766F" w:rsidP="0041497A">
            <w:pPr>
              <w:widowControl/>
              <w:autoSpaceDE/>
              <w:autoSpaceDN/>
              <w:adjustRightInd/>
              <w:jc w:val="center"/>
              <w:rPr>
                <w:b/>
                <w:bCs/>
                <w:szCs w:val="20"/>
              </w:rPr>
            </w:pPr>
            <w:r w:rsidRPr="003B37F4">
              <w:rPr>
                <w:b/>
                <w:bCs/>
                <w:szCs w:val="20"/>
              </w:rPr>
              <w:t>(Table 1)</w:t>
            </w:r>
          </w:p>
        </w:tc>
      </w:tr>
      <w:tr w:rsidR="0041766F" w:rsidRPr="003B37F4" w14:paraId="3CA82A0C" w14:textId="77777777" w:rsidTr="00215D7A">
        <w:trPr>
          <w:jc w:val="center"/>
        </w:trPr>
        <w:tc>
          <w:tcPr>
            <w:tcW w:w="5341" w:type="dxa"/>
            <w:gridSpan w:val="4"/>
            <w:shd w:val="clear" w:color="auto" w:fill="auto"/>
            <w:noWrap/>
            <w:vAlign w:val="bottom"/>
          </w:tcPr>
          <w:p w14:paraId="40133A16" w14:textId="77777777" w:rsidR="0041766F" w:rsidRPr="003B37F4" w:rsidRDefault="0041766F" w:rsidP="0041497A">
            <w:pPr>
              <w:widowControl/>
              <w:autoSpaceDE/>
              <w:autoSpaceDN/>
              <w:adjustRightInd/>
              <w:jc w:val="center"/>
              <w:rPr>
                <w:b/>
                <w:bCs/>
                <w:szCs w:val="20"/>
              </w:rPr>
            </w:pPr>
            <w:r w:rsidRPr="003B37F4">
              <w:rPr>
                <w:b/>
                <w:bCs/>
                <w:szCs w:val="20"/>
              </w:rPr>
              <w:t>Net Assets</w:t>
            </w:r>
          </w:p>
        </w:tc>
      </w:tr>
      <w:tr w:rsidR="0041766F" w:rsidRPr="003B37F4" w14:paraId="12CA1574" w14:textId="77777777" w:rsidTr="00215D7A">
        <w:trPr>
          <w:jc w:val="center"/>
        </w:trPr>
        <w:tc>
          <w:tcPr>
            <w:tcW w:w="3007" w:type="dxa"/>
            <w:shd w:val="clear" w:color="auto" w:fill="auto"/>
            <w:noWrap/>
            <w:vAlign w:val="bottom"/>
          </w:tcPr>
          <w:p w14:paraId="1A61CFD9" w14:textId="77777777" w:rsidR="0041766F" w:rsidRPr="003B37F4" w:rsidRDefault="0041766F" w:rsidP="0041497A">
            <w:pPr>
              <w:widowControl/>
              <w:autoSpaceDE/>
              <w:autoSpaceDN/>
              <w:adjustRightInd/>
              <w:rPr>
                <w:szCs w:val="20"/>
              </w:rPr>
            </w:pPr>
          </w:p>
        </w:tc>
        <w:tc>
          <w:tcPr>
            <w:tcW w:w="2334" w:type="dxa"/>
            <w:gridSpan w:val="3"/>
            <w:shd w:val="clear" w:color="auto" w:fill="auto"/>
            <w:noWrap/>
            <w:vAlign w:val="bottom"/>
          </w:tcPr>
          <w:p w14:paraId="356F883B" w14:textId="77777777" w:rsidR="0041766F" w:rsidRPr="003B37F4" w:rsidRDefault="0041766F" w:rsidP="0041497A">
            <w:pPr>
              <w:widowControl/>
              <w:autoSpaceDE/>
              <w:autoSpaceDN/>
              <w:adjustRightInd/>
              <w:jc w:val="center"/>
              <w:rPr>
                <w:b/>
                <w:bCs/>
                <w:szCs w:val="20"/>
              </w:rPr>
            </w:pPr>
            <w:r w:rsidRPr="003B37F4">
              <w:rPr>
                <w:b/>
                <w:bCs/>
                <w:szCs w:val="20"/>
              </w:rPr>
              <w:t>Governmental Activities</w:t>
            </w:r>
          </w:p>
        </w:tc>
      </w:tr>
      <w:tr w:rsidR="00776BF7" w:rsidRPr="003B37F4" w14:paraId="10C6425E" w14:textId="77777777" w:rsidTr="00215D7A">
        <w:trPr>
          <w:jc w:val="center"/>
        </w:trPr>
        <w:tc>
          <w:tcPr>
            <w:tcW w:w="3007" w:type="dxa"/>
            <w:shd w:val="clear" w:color="auto" w:fill="auto"/>
            <w:noWrap/>
            <w:vAlign w:val="bottom"/>
          </w:tcPr>
          <w:p w14:paraId="6DA5CAB2" w14:textId="77777777" w:rsidR="00776BF7" w:rsidRPr="003B37F4" w:rsidRDefault="00776BF7" w:rsidP="00776BF7">
            <w:pPr>
              <w:widowControl/>
              <w:autoSpaceDE/>
              <w:autoSpaceDN/>
              <w:adjustRightInd/>
              <w:rPr>
                <w:szCs w:val="20"/>
              </w:rPr>
            </w:pPr>
          </w:p>
        </w:tc>
        <w:tc>
          <w:tcPr>
            <w:tcW w:w="1128" w:type="dxa"/>
            <w:shd w:val="clear" w:color="auto" w:fill="auto"/>
            <w:noWrap/>
            <w:vAlign w:val="bottom"/>
          </w:tcPr>
          <w:p w14:paraId="0C5DFA6A" w14:textId="2D0FD90C" w:rsidR="00776BF7" w:rsidRPr="003B37F4" w:rsidRDefault="00776BF7" w:rsidP="00776BF7">
            <w:pPr>
              <w:widowControl/>
              <w:autoSpaceDE/>
              <w:autoSpaceDN/>
              <w:adjustRightInd/>
              <w:jc w:val="center"/>
              <w:rPr>
                <w:b/>
                <w:bCs/>
                <w:szCs w:val="20"/>
              </w:rPr>
            </w:pPr>
            <w:r w:rsidRPr="003B37F4">
              <w:rPr>
                <w:b/>
                <w:bCs/>
                <w:szCs w:val="20"/>
              </w:rPr>
              <w:t>202</w:t>
            </w:r>
            <w:r w:rsidR="004B7D0D" w:rsidRPr="003B37F4">
              <w:rPr>
                <w:b/>
                <w:bCs/>
                <w:szCs w:val="20"/>
              </w:rPr>
              <w:t>2</w:t>
            </w:r>
          </w:p>
        </w:tc>
        <w:tc>
          <w:tcPr>
            <w:tcW w:w="78" w:type="dxa"/>
            <w:shd w:val="clear" w:color="auto" w:fill="auto"/>
            <w:noWrap/>
            <w:vAlign w:val="bottom"/>
          </w:tcPr>
          <w:p w14:paraId="0C5C6FC8" w14:textId="77777777" w:rsidR="00776BF7" w:rsidRPr="003B37F4" w:rsidRDefault="00776BF7" w:rsidP="00776BF7">
            <w:pPr>
              <w:widowControl/>
              <w:autoSpaceDE/>
              <w:autoSpaceDN/>
              <w:adjustRightInd/>
              <w:rPr>
                <w:b/>
                <w:bCs/>
                <w:szCs w:val="20"/>
              </w:rPr>
            </w:pPr>
          </w:p>
        </w:tc>
        <w:tc>
          <w:tcPr>
            <w:tcW w:w="1128" w:type="dxa"/>
            <w:shd w:val="clear" w:color="auto" w:fill="auto"/>
            <w:noWrap/>
            <w:vAlign w:val="bottom"/>
          </w:tcPr>
          <w:p w14:paraId="5138F2C5" w14:textId="72CB2CEC" w:rsidR="00776BF7" w:rsidRPr="003B37F4" w:rsidRDefault="00776BF7" w:rsidP="00776BF7">
            <w:pPr>
              <w:widowControl/>
              <w:autoSpaceDE/>
              <w:autoSpaceDN/>
              <w:adjustRightInd/>
              <w:jc w:val="center"/>
              <w:rPr>
                <w:b/>
                <w:bCs/>
                <w:szCs w:val="20"/>
              </w:rPr>
            </w:pPr>
            <w:r w:rsidRPr="003B37F4">
              <w:rPr>
                <w:b/>
                <w:bCs/>
                <w:szCs w:val="20"/>
              </w:rPr>
              <w:t>202</w:t>
            </w:r>
            <w:r w:rsidR="0094068D" w:rsidRPr="003B37F4">
              <w:rPr>
                <w:b/>
                <w:bCs/>
                <w:szCs w:val="20"/>
              </w:rPr>
              <w:t>1</w:t>
            </w:r>
          </w:p>
        </w:tc>
      </w:tr>
      <w:tr w:rsidR="00776BF7" w:rsidRPr="003B37F4" w14:paraId="39F9B915" w14:textId="77777777" w:rsidTr="00215D7A">
        <w:trPr>
          <w:jc w:val="center"/>
        </w:trPr>
        <w:tc>
          <w:tcPr>
            <w:tcW w:w="3007" w:type="dxa"/>
            <w:shd w:val="clear" w:color="auto" w:fill="auto"/>
            <w:noWrap/>
            <w:vAlign w:val="bottom"/>
          </w:tcPr>
          <w:p w14:paraId="20ECB89D" w14:textId="77777777" w:rsidR="00776BF7" w:rsidRPr="003B37F4" w:rsidRDefault="00776BF7" w:rsidP="00776BF7">
            <w:pPr>
              <w:widowControl/>
              <w:autoSpaceDE/>
              <w:autoSpaceDN/>
              <w:adjustRightInd/>
              <w:rPr>
                <w:b/>
                <w:bCs/>
                <w:szCs w:val="20"/>
              </w:rPr>
            </w:pPr>
            <w:r w:rsidRPr="003B37F4">
              <w:rPr>
                <w:b/>
                <w:bCs/>
                <w:szCs w:val="20"/>
              </w:rPr>
              <w:t>Assets</w:t>
            </w:r>
          </w:p>
        </w:tc>
        <w:tc>
          <w:tcPr>
            <w:tcW w:w="1128" w:type="dxa"/>
            <w:shd w:val="clear" w:color="auto" w:fill="auto"/>
            <w:noWrap/>
            <w:vAlign w:val="bottom"/>
          </w:tcPr>
          <w:p w14:paraId="347315CF" w14:textId="77777777" w:rsidR="00776BF7" w:rsidRPr="003B37F4" w:rsidRDefault="00776BF7" w:rsidP="00776BF7">
            <w:pPr>
              <w:widowControl/>
              <w:autoSpaceDE/>
              <w:autoSpaceDN/>
              <w:adjustRightInd/>
              <w:rPr>
                <w:szCs w:val="20"/>
              </w:rPr>
            </w:pPr>
          </w:p>
        </w:tc>
        <w:tc>
          <w:tcPr>
            <w:tcW w:w="78" w:type="dxa"/>
            <w:shd w:val="clear" w:color="auto" w:fill="auto"/>
            <w:noWrap/>
            <w:vAlign w:val="bottom"/>
          </w:tcPr>
          <w:p w14:paraId="3E187792" w14:textId="77777777" w:rsidR="00776BF7" w:rsidRPr="003B37F4" w:rsidRDefault="00776BF7" w:rsidP="00776BF7">
            <w:pPr>
              <w:widowControl/>
              <w:autoSpaceDE/>
              <w:autoSpaceDN/>
              <w:adjustRightInd/>
              <w:rPr>
                <w:szCs w:val="20"/>
              </w:rPr>
            </w:pPr>
          </w:p>
        </w:tc>
        <w:tc>
          <w:tcPr>
            <w:tcW w:w="1128" w:type="dxa"/>
            <w:shd w:val="clear" w:color="auto" w:fill="auto"/>
            <w:noWrap/>
            <w:vAlign w:val="bottom"/>
          </w:tcPr>
          <w:p w14:paraId="4BAFFFEB" w14:textId="77777777" w:rsidR="00776BF7" w:rsidRPr="003B37F4" w:rsidRDefault="00776BF7" w:rsidP="00776BF7">
            <w:pPr>
              <w:widowControl/>
              <w:autoSpaceDE/>
              <w:autoSpaceDN/>
              <w:adjustRightInd/>
              <w:rPr>
                <w:szCs w:val="20"/>
              </w:rPr>
            </w:pPr>
          </w:p>
        </w:tc>
      </w:tr>
      <w:tr w:rsidR="00776BF7" w:rsidRPr="003B37F4" w14:paraId="7E8A6FE9" w14:textId="77777777" w:rsidTr="00215D7A">
        <w:trPr>
          <w:jc w:val="center"/>
        </w:trPr>
        <w:tc>
          <w:tcPr>
            <w:tcW w:w="3007" w:type="dxa"/>
            <w:shd w:val="clear" w:color="auto" w:fill="auto"/>
            <w:noWrap/>
            <w:vAlign w:val="bottom"/>
          </w:tcPr>
          <w:p w14:paraId="3C3E24E2" w14:textId="77777777" w:rsidR="00776BF7" w:rsidRPr="003B37F4" w:rsidRDefault="00776BF7" w:rsidP="00776BF7">
            <w:pPr>
              <w:widowControl/>
              <w:autoSpaceDE/>
              <w:autoSpaceDN/>
              <w:adjustRightInd/>
              <w:rPr>
                <w:szCs w:val="20"/>
              </w:rPr>
            </w:pPr>
            <w:r w:rsidRPr="003B37F4">
              <w:rPr>
                <w:szCs w:val="20"/>
              </w:rPr>
              <w:t>Cash and Cash Equivalents</w:t>
            </w:r>
          </w:p>
        </w:tc>
        <w:tc>
          <w:tcPr>
            <w:tcW w:w="1128" w:type="dxa"/>
            <w:shd w:val="clear" w:color="auto" w:fill="auto"/>
            <w:noWrap/>
            <w:vAlign w:val="bottom"/>
          </w:tcPr>
          <w:p w14:paraId="3719CC2B" w14:textId="5D12389C" w:rsidR="00776BF7" w:rsidRPr="003B37F4" w:rsidRDefault="00776BF7" w:rsidP="00776BF7">
            <w:pPr>
              <w:widowControl/>
              <w:autoSpaceDE/>
              <w:autoSpaceDN/>
              <w:adjustRightInd/>
              <w:jc w:val="right"/>
              <w:rPr>
                <w:szCs w:val="20"/>
              </w:rPr>
            </w:pPr>
            <w:r w:rsidRPr="003B37F4">
              <w:rPr>
                <w:szCs w:val="20"/>
              </w:rPr>
              <w:t>$1,</w:t>
            </w:r>
            <w:r w:rsidR="00B320C9" w:rsidRPr="003B37F4">
              <w:rPr>
                <w:szCs w:val="20"/>
              </w:rPr>
              <w:t>035,173</w:t>
            </w:r>
          </w:p>
        </w:tc>
        <w:tc>
          <w:tcPr>
            <w:tcW w:w="78" w:type="dxa"/>
            <w:shd w:val="clear" w:color="auto" w:fill="auto"/>
            <w:noWrap/>
            <w:vAlign w:val="bottom"/>
          </w:tcPr>
          <w:p w14:paraId="73BA4DD5" w14:textId="77777777" w:rsidR="00776BF7" w:rsidRPr="003B37F4" w:rsidRDefault="00776BF7" w:rsidP="00776BF7">
            <w:pPr>
              <w:widowControl/>
              <w:autoSpaceDE/>
              <w:autoSpaceDN/>
              <w:adjustRightInd/>
              <w:rPr>
                <w:szCs w:val="20"/>
              </w:rPr>
            </w:pPr>
          </w:p>
        </w:tc>
        <w:tc>
          <w:tcPr>
            <w:tcW w:w="1128" w:type="dxa"/>
            <w:shd w:val="clear" w:color="auto" w:fill="auto"/>
            <w:noWrap/>
            <w:vAlign w:val="bottom"/>
          </w:tcPr>
          <w:p w14:paraId="4D48D7C5" w14:textId="659F4615" w:rsidR="00776BF7" w:rsidRPr="003B37F4" w:rsidRDefault="00776BF7" w:rsidP="00776BF7">
            <w:pPr>
              <w:widowControl/>
              <w:autoSpaceDE/>
              <w:autoSpaceDN/>
              <w:adjustRightInd/>
              <w:jc w:val="right"/>
              <w:rPr>
                <w:szCs w:val="20"/>
              </w:rPr>
            </w:pPr>
            <w:r w:rsidRPr="003B37F4">
              <w:rPr>
                <w:szCs w:val="20"/>
              </w:rPr>
              <w:t>$1,</w:t>
            </w:r>
            <w:r w:rsidR="0094068D" w:rsidRPr="003B37F4">
              <w:rPr>
                <w:szCs w:val="20"/>
              </w:rPr>
              <w:t>037,818</w:t>
            </w:r>
          </w:p>
        </w:tc>
      </w:tr>
      <w:tr w:rsidR="00776BF7" w:rsidRPr="003B37F4" w14:paraId="3ED5709B" w14:textId="77777777" w:rsidTr="00215D7A">
        <w:trPr>
          <w:jc w:val="center"/>
        </w:trPr>
        <w:tc>
          <w:tcPr>
            <w:tcW w:w="3007" w:type="dxa"/>
            <w:shd w:val="clear" w:color="auto" w:fill="auto"/>
            <w:noWrap/>
            <w:vAlign w:val="bottom"/>
          </w:tcPr>
          <w:p w14:paraId="1FF44B90" w14:textId="77777777" w:rsidR="00776BF7" w:rsidRPr="003B37F4" w:rsidRDefault="00776BF7" w:rsidP="00776BF7">
            <w:pPr>
              <w:widowControl/>
              <w:autoSpaceDE/>
              <w:autoSpaceDN/>
              <w:adjustRightInd/>
              <w:rPr>
                <w:szCs w:val="20"/>
              </w:rPr>
            </w:pPr>
            <w:r w:rsidRPr="003B37F4">
              <w:rPr>
                <w:szCs w:val="20"/>
              </w:rPr>
              <w:t>Total Assets</w:t>
            </w:r>
          </w:p>
        </w:tc>
        <w:tc>
          <w:tcPr>
            <w:tcW w:w="1128" w:type="dxa"/>
            <w:shd w:val="clear" w:color="auto" w:fill="auto"/>
            <w:noWrap/>
            <w:vAlign w:val="bottom"/>
          </w:tcPr>
          <w:p w14:paraId="7A0387FC" w14:textId="69F8999E" w:rsidR="00776BF7" w:rsidRPr="003B37F4" w:rsidRDefault="00776BF7" w:rsidP="00776BF7">
            <w:pPr>
              <w:widowControl/>
              <w:autoSpaceDE/>
              <w:autoSpaceDN/>
              <w:adjustRightInd/>
              <w:jc w:val="right"/>
              <w:rPr>
                <w:szCs w:val="20"/>
              </w:rPr>
            </w:pPr>
            <w:r w:rsidRPr="003B37F4">
              <w:rPr>
                <w:szCs w:val="20"/>
              </w:rPr>
              <w:t>$1,</w:t>
            </w:r>
            <w:r w:rsidR="00B320C9" w:rsidRPr="003B37F4">
              <w:rPr>
                <w:szCs w:val="20"/>
              </w:rPr>
              <w:t>441,416</w:t>
            </w:r>
          </w:p>
        </w:tc>
        <w:tc>
          <w:tcPr>
            <w:tcW w:w="78" w:type="dxa"/>
            <w:shd w:val="clear" w:color="auto" w:fill="auto"/>
            <w:noWrap/>
            <w:vAlign w:val="bottom"/>
          </w:tcPr>
          <w:p w14:paraId="7484C2FC" w14:textId="77777777" w:rsidR="00776BF7" w:rsidRPr="003B37F4" w:rsidRDefault="00776BF7" w:rsidP="00776BF7">
            <w:pPr>
              <w:widowControl/>
              <w:autoSpaceDE/>
              <w:autoSpaceDN/>
              <w:adjustRightInd/>
              <w:rPr>
                <w:szCs w:val="20"/>
              </w:rPr>
            </w:pPr>
          </w:p>
        </w:tc>
        <w:tc>
          <w:tcPr>
            <w:tcW w:w="1128" w:type="dxa"/>
            <w:shd w:val="clear" w:color="auto" w:fill="auto"/>
            <w:noWrap/>
            <w:vAlign w:val="bottom"/>
          </w:tcPr>
          <w:p w14:paraId="243921E1" w14:textId="3BDD326C" w:rsidR="00776BF7" w:rsidRPr="003B37F4" w:rsidRDefault="00776BF7" w:rsidP="00776BF7">
            <w:pPr>
              <w:widowControl/>
              <w:autoSpaceDE/>
              <w:autoSpaceDN/>
              <w:adjustRightInd/>
              <w:jc w:val="right"/>
              <w:rPr>
                <w:szCs w:val="20"/>
              </w:rPr>
            </w:pPr>
            <w:r w:rsidRPr="003B37F4">
              <w:rPr>
                <w:szCs w:val="20"/>
              </w:rPr>
              <w:t>$1,</w:t>
            </w:r>
            <w:r w:rsidR="0094068D" w:rsidRPr="003B37F4">
              <w:rPr>
                <w:szCs w:val="20"/>
              </w:rPr>
              <w:t>396,203</w:t>
            </w:r>
          </w:p>
        </w:tc>
      </w:tr>
      <w:tr w:rsidR="00776BF7" w:rsidRPr="003B37F4" w14:paraId="3A951972" w14:textId="77777777" w:rsidTr="00215D7A">
        <w:trPr>
          <w:jc w:val="center"/>
        </w:trPr>
        <w:tc>
          <w:tcPr>
            <w:tcW w:w="3007" w:type="dxa"/>
            <w:shd w:val="clear" w:color="auto" w:fill="auto"/>
            <w:noWrap/>
            <w:vAlign w:val="bottom"/>
          </w:tcPr>
          <w:p w14:paraId="1D4DC92C" w14:textId="77777777" w:rsidR="00776BF7" w:rsidRPr="003B37F4" w:rsidRDefault="00776BF7" w:rsidP="00776BF7">
            <w:pPr>
              <w:widowControl/>
              <w:autoSpaceDE/>
              <w:autoSpaceDN/>
              <w:adjustRightInd/>
              <w:rPr>
                <w:szCs w:val="20"/>
              </w:rPr>
            </w:pPr>
          </w:p>
        </w:tc>
        <w:tc>
          <w:tcPr>
            <w:tcW w:w="1128" w:type="dxa"/>
            <w:shd w:val="clear" w:color="auto" w:fill="auto"/>
            <w:noWrap/>
            <w:vAlign w:val="bottom"/>
          </w:tcPr>
          <w:p w14:paraId="4C2B4ED0" w14:textId="77777777" w:rsidR="00776BF7" w:rsidRPr="003B37F4" w:rsidRDefault="00776BF7" w:rsidP="00776BF7">
            <w:pPr>
              <w:widowControl/>
              <w:autoSpaceDE/>
              <w:autoSpaceDN/>
              <w:adjustRightInd/>
              <w:jc w:val="right"/>
              <w:rPr>
                <w:szCs w:val="20"/>
              </w:rPr>
            </w:pPr>
          </w:p>
        </w:tc>
        <w:tc>
          <w:tcPr>
            <w:tcW w:w="78" w:type="dxa"/>
            <w:shd w:val="clear" w:color="auto" w:fill="auto"/>
            <w:noWrap/>
            <w:vAlign w:val="bottom"/>
          </w:tcPr>
          <w:p w14:paraId="347B5363" w14:textId="77777777" w:rsidR="00776BF7" w:rsidRPr="003B37F4" w:rsidRDefault="00776BF7" w:rsidP="00776BF7">
            <w:pPr>
              <w:widowControl/>
              <w:autoSpaceDE/>
              <w:autoSpaceDN/>
              <w:adjustRightInd/>
              <w:rPr>
                <w:szCs w:val="20"/>
              </w:rPr>
            </w:pPr>
          </w:p>
        </w:tc>
        <w:tc>
          <w:tcPr>
            <w:tcW w:w="1128" w:type="dxa"/>
            <w:shd w:val="clear" w:color="auto" w:fill="auto"/>
            <w:noWrap/>
            <w:vAlign w:val="bottom"/>
          </w:tcPr>
          <w:p w14:paraId="7A3ABDED" w14:textId="77777777" w:rsidR="00776BF7" w:rsidRPr="003B37F4" w:rsidRDefault="00776BF7" w:rsidP="00776BF7">
            <w:pPr>
              <w:widowControl/>
              <w:autoSpaceDE/>
              <w:autoSpaceDN/>
              <w:adjustRightInd/>
              <w:jc w:val="right"/>
              <w:rPr>
                <w:szCs w:val="20"/>
              </w:rPr>
            </w:pPr>
          </w:p>
        </w:tc>
      </w:tr>
      <w:tr w:rsidR="00776BF7" w:rsidRPr="003B37F4" w14:paraId="1977DDD3" w14:textId="77777777" w:rsidTr="00215D7A">
        <w:trPr>
          <w:jc w:val="center"/>
        </w:trPr>
        <w:tc>
          <w:tcPr>
            <w:tcW w:w="3007" w:type="dxa"/>
            <w:shd w:val="clear" w:color="auto" w:fill="auto"/>
            <w:noWrap/>
            <w:vAlign w:val="bottom"/>
          </w:tcPr>
          <w:p w14:paraId="04FDF712" w14:textId="77777777" w:rsidR="00776BF7" w:rsidRPr="003B37F4" w:rsidRDefault="00776BF7" w:rsidP="00776BF7">
            <w:pPr>
              <w:widowControl/>
              <w:autoSpaceDE/>
              <w:autoSpaceDN/>
              <w:adjustRightInd/>
              <w:rPr>
                <w:b/>
                <w:bCs/>
                <w:szCs w:val="20"/>
              </w:rPr>
            </w:pPr>
            <w:r w:rsidRPr="003B37F4">
              <w:rPr>
                <w:b/>
                <w:bCs/>
                <w:szCs w:val="20"/>
              </w:rPr>
              <w:t>Net Position</w:t>
            </w:r>
          </w:p>
        </w:tc>
        <w:tc>
          <w:tcPr>
            <w:tcW w:w="1128" w:type="dxa"/>
            <w:shd w:val="clear" w:color="auto" w:fill="auto"/>
            <w:noWrap/>
            <w:vAlign w:val="bottom"/>
          </w:tcPr>
          <w:p w14:paraId="1DFC1A0D" w14:textId="77777777" w:rsidR="00776BF7" w:rsidRPr="003B37F4" w:rsidRDefault="00776BF7" w:rsidP="00776BF7">
            <w:pPr>
              <w:widowControl/>
              <w:autoSpaceDE/>
              <w:autoSpaceDN/>
              <w:adjustRightInd/>
              <w:rPr>
                <w:szCs w:val="20"/>
              </w:rPr>
            </w:pPr>
          </w:p>
        </w:tc>
        <w:tc>
          <w:tcPr>
            <w:tcW w:w="78" w:type="dxa"/>
            <w:shd w:val="clear" w:color="auto" w:fill="auto"/>
            <w:noWrap/>
            <w:vAlign w:val="bottom"/>
          </w:tcPr>
          <w:p w14:paraId="6B801426" w14:textId="77777777" w:rsidR="00776BF7" w:rsidRPr="003B37F4" w:rsidRDefault="00776BF7" w:rsidP="00776BF7">
            <w:pPr>
              <w:widowControl/>
              <w:autoSpaceDE/>
              <w:autoSpaceDN/>
              <w:adjustRightInd/>
              <w:rPr>
                <w:szCs w:val="20"/>
              </w:rPr>
            </w:pPr>
          </w:p>
        </w:tc>
        <w:tc>
          <w:tcPr>
            <w:tcW w:w="1128" w:type="dxa"/>
            <w:shd w:val="clear" w:color="auto" w:fill="auto"/>
            <w:noWrap/>
            <w:vAlign w:val="bottom"/>
          </w:tcPr>
          <w:p w14:paraId="2B91F52F" w14:textId="77777777" w:rsidR="00776BF7" w:rsidRPr="003B37F4" w:rsidRDefault="00776BF7" w:rsidP="00776BF7">
            <w:pPr>
              <w:widowControl/>
              <w:autoSpaceDE/>
              <w:autoSpaceDN/>
              <w:adjustRightInd/>
              <w:rPr>
                <w:szCs w:val="20"/>
              </w:rPr>
            </w:pPr>
          </w:p>
        </w:tc>
      </w:tr>
      <w:tr w:rsidR="00776BF7" w:rsidRPr="003B37F4" w14:paraId="221B6CBE" w14:textId="77777777" w:rsidTr="00215D7A">
        <w:trPr>
          <w:jc w:val="center"/>
        </w:trPr>
        <w:tc>
          <w:tcPr>
            <w:tcW w:w="3007" w:type="dxa"/>
            <w:shd w:val="clear" w:color="auto" w:fill="auto"/>
            <w:vAlign w:val="bottom"/>
          </w:tcPr>
          <w:p w14:paraId="2685A1A6" w14:textId="77777777" w:rsidR="00776BF7" w:rsidRPr="003B37F4" w:rsidRDefault="00776BF7" w:rsidP="00776BF7">
            <w:pPr>
              <w:widowControl/>
              <w:autoSpaceDE/>
              <w:autoSpaceDN/>
              <w:adjustRightInd/>
              <w:rPr>
                <w:b/>
                <w:bCs/>
                <w:szCs w:val="20"/>
              </w:rPr>
            </w:pPr>
            <w:r w:rsidRPr="003B37F4">
              <w:rPr>
                <w:b/>
                <w:bCs/>
                <w:szCs w:val="20"/>
              </w:rPr>
              <w:t>Restricted for:</w:t>
            </w:r>
          </w:p>
        </w:tc>
        <w:tc>
          <w:tcPr>
            <w:tcW w:w="1128" w:type="dxa"/>
            <w:shd w:val="clear" w:color="auto" w:fill="auto"/>
            <w:noWrap/>
            <w:vAlign w:val="bottom"/>
          </w:tcPr>
          <w:p w14:paraId="6F972768" w14:textId="77777777" w:rsidR="00776BF7" w:rsidRPr="003B37F4" w:rsidRDefault="00776BF7" w:rsidP="00776BF7">
            <w:pPr>
              <w:widowControl/>
              <w:autoSpaceDE/>
              <w:autoSpaceDN/>
              <w:adjustRightInd/>
              <w:rPr>
                <w:szCs w:val="20"/>
              </w:rPr>
            </w:pPr>
          </w:p>
        </w:tc>
        <w:tc>
          <w:tcPr>
            <w:tcW w:w="78" w:type="dxa"/>
            <w:shd w:val="clear" w:color="auto" w:fill="auto"/>
            <w:noWrap/>
            <w:vAlign w:val="bottom"/>
          </w:tcPr>
          <w:p w14:paraId="14CFB346" w14:textId="77777777" w:rsidR="00776BF7" w:rsidRPr="003B37F4" w:rsidRDefault="00776BF7" w:rsidP="00776BF7">
            <w:pPr>
              <w:widowControl/>
              <w:autoSpaceDE/>
              <w:autoSpaceDN/>
              <w:adjustRightInd/>
              <w:rPr>
                <w:szCs w:val="20"/>
              </w:rPr>
            </w:pPr>
          </w:p>
        </w:tc>
        <w:tc>
          <w:tcPr>
            <w:tcW w:w="1128" w:type="dxa"/>
            <w:shd w:val="clear" w:color="auto" w:fill="auto"/>
            <w:noWrap/>
            <w:vAlign w:val="bottom"/>
          </w:tcPr>
          <w:p w14:paraId="7F1D4CE2" w14:textId="77777777" w:rsidR="00776BF7" w:rsidRPr="003B37F4" w:rsidRDefault="00776BF7" w:rsidP="00776BF7">
            <w:pPr>
              <w:widowControl/>
              <w:autoSpaceDE/>
              <w:autoSpaceDN/>
              <w:adjustRightInd/>
              <w:rPr>
                <w:szCs w:val="20"/>
              </w:rPr>
            </w:pPr>
          </w:p>
        </w:tc>
      </w:tr>
      <w:tr w:rsidR="00776BF7" w:rsidRPr="003B37F4" w14:paraId="6A95D7E3" w14:textId="77777777" w:rsidTr="00215D7A">
        <w:trPr>
          <w:jc w:val="center"/>
        </w:trPr>
        <w:tc>
          <w:tcPr>
            <w:tcW w:w="3007" w:type="dxa"/>
            <w:shd w:val="clear" w:color="auto" w:fill="auto"/>
            <w:vAlign w:val="bottom"/>
          </w:tcPr>
          <w:p w14:paraId="11278B92" w14:textId="77777777" w:rsidR="00776BF7" w:rsidRPr="003B37F4" w:rsidRDefault="00776BF7" w:rsidP="00776BF7">
            <w:pPr>
              <w:widowControl/>
              <w:autoSpaceDE/>
              <w:autoSpaceDN/>
              <w:adjustRightInd/>
              <w:rPr>
                <w:szCs w:val="20"/>
              </w:rPr>
            </w:pPr>
            <w:r w:rsidRPr="003B37F4">
              <w:rPr>
                <w:szCs w:val="20"/>
              </w:rPr>
              <w:t>Other Purposes</w:t>
            </w:r>
          </w:p>
        </w:tc>
        <w:tc>
          <w:tcPr>
            <w:tcW w:w="1128" w:type="dxa"/>
            <w:shd w:val="clear" w:color="auto" w:fill="auto"/>
            <w:noWrap/>
            <w:vAlign w:val="bottom"/>
          </w:tcPr>
          <w:p w14:paraId="35220BA6" w14:textId="69BB54E5" w:rsidR="00776BF7" w:rsidRPr="003B37F4" w:rsidRDefault="00776BF7" w:rsidP="00776BF7">
            <w:pPr>
              <w:widowControl/>
              <w:autoSpaceDE/>
              <w:autoSpaceDN/>
              <w:adjustRightInd/>
              <w:jc w:val="right"/>
              <w:rPr>
                <w:szCs w:val="20"/>
              </w:rPr>
            </w:pPr>
            <w:r w:rsidRPr="003B37F4">
              <w:rPr>
                <w:szCs w:val="20"/>
              </w:rPr>
              <w:t>$</w:t>
            </w:r>
            <w:r w:rsidR="00B320C9" w:rsidRPr="003B37F4">
              <w:rPr>
                <w:szCs w:val="20"/>
              </w:rPr>
              <w:t>406,243</w:t>
            </w:r>
            <w:r w:rsidRPr="003B37F4">
              <w:rPr>
                <w:szCs w:val="20"/>
              </w:rPr>
              <w:t xml:space="preserve"> </w:t>
            </w:r>
          </w:p>
        </w:tc>
        <w:tc>
          <w:tcPr>
            <w:tcW w:w="78" w:type="dxa"/>
            <w:shd w:val="clear" w:color="auto" w:fill="auto"/>
            <w:noWrap/>
            <w:vAlign w:val="bottom"/>
          </w:tcPr>
          <w:p w14:paraId="7625AE34" w14:textId="77777777" w:rsidR="00776BF7" w:rsidRPr="003B37F4" w:rsidRDefault="00776BF7" w:rsidP="00776BF7">
            <w:pPr>
              <w:widowControl/>
              <w:autoSpaceDE/>
              <w:autoSpaceDN/>
              <w:adjustRightInd/>
              <w:rPr>
                <w:szCs w:val="20"/>
              </w:rPr>
            </w:pPr>
          </w:p>
        </w:tc>
        <w:tc>
          <w:tcPr>
            <w:tcW w:w="1128" w:type="dxa"/>
            <w:shd w:val="clear" w:color="auto" w:fill="auto"/>
            <w:noWrap/>
            <w:vAlign w:val="bottom"/>
          </w:tcPr>
          <w:p w14:paraId="1E98E4FF" w14:textId="69004710" w:rsidR="00776BF7" w:rsidRPr="003B37F4" w:rsidRDefault="00776BF7" w:rsidP="00776BF7">
            <w:pPr>
              <w:widowControl/>
              <w:autoSpaceDE/>
              <w:autoSpaceDN/>
              <w:adjustRightInd/>
              <w:jc w:val="right"/>
              <w:rPr>
                <w:szCs w:val="20"/>
              </w:rPr>
            </w:pPr>
            <w:r w:rsidRPr="003B37F4">
              <w:rPr>
                <w:szCs w:val="20"/>
              </w:rPr>
              <w:t>$</w:t>
            </w:r>
            <w:r w:rsidR="0094068D" w:rsidRPr="003B37F4">
              <w:rPr>
                <w:szCs w:val="20"/>
              </w:rPr>
              <w:t>358,385</w:t>
            </w:r>
            <w:r w:rsidRPr="003B37F4">
              <w:rPr>
                <w:szCs w:val="20"/>
              </w:rPr>
              <w:t xml:space="preserve"> </w:t>
            </w:r>
          </w:p>
        </w:tc>
      </w:tr>
      <w:tr w:rsidR="00776BF7" w:rsidRPr="003B37F4" w14:paraId="5FBA29AB" w14:textId="77777777" w:rsidTr="00215D7A">
        <w:trPr>
          <w:jc w:val="center"/>
        </w:trPr>
        <w:tc>
          <w:tcPr>
            <w:tcW w:w="3007" w:type="dxa"/>
            <w:shd w:val="clear" w:color="auto" w:fill="auto"/>
            <w:vAlign w:val="bottom"/>
          </w:tcPr>
          <w:p w14:paraId="118803B9" w14:textId="77777777" w:rsidR="00776BF7" w:rsidRPr="003B37F4" w:rsidRDefault="00776BF7" w:rsidP="00776BF7">
            <w:pPr>
              <w:widowControl/>
              <w:autoSpaceDE/>
              <w:autoSpaceDN/>
              <w:adjustRightInd/>
              <w:rPr>
                <w:szCs w:val="20"/>
              </w:rPr>
            </w:pPr>
            <w:r w:rsidRPr="003B37F4">
              <w:rPr>
                <w:szCs w:val="20"/>
              </w:rPr>
              <w:t>Unrestricted</w:t>
            </w:r>
          </w:p>
        </w:tc>
        <w:tc>
          <w:tcPr>
            <w:tcW w:w="1128" w:type="dxa"/>
            <w:shd w:val="clear" w:color="auto" w:fill="auto"/>
            <w:noWrap/>
            <w:vAlign w:val="bottom"/>
          </w:tcPr>
          <w:p w14:paraId="2A038508" w14:textId="30762B1F" w:rsidR="00776BF7" w:rsidRPr="003B37F4" w:rsidRDefault="00776BF7" w:rsidP="00776BF7">
            <w:pPr>
              <w:widowControl/>
              <w:autoSpaceDE/>
              <w:autoSpaceDN/>
              <w:adjustRightInd/>
              <w:jc w:val="right"/>
              <w:rPr>
                <w:szCs w:val="20"/>
              </w:rPr>
            </w:pPr>
            <w:r w:rsidRPr="003B37F4">
              <w:rPr>
                <w:szCs w:val="20"/>
              </w:rPr>
              <w:t>$</w:t>
            </w:r>
            <w:r w:rsidR="00B320C9" w:rsidRPr="003B37F4">
              <w:rPr>
                <w:szCs w:val="20"/>
              </w:rPr>
              <w:t>1,035,173</w:t>
            </w:r>
            <w:r w:rsidRPr="003B37F4">
              <w:rPr>
                <w:szCs w:val="20"/>
              </w:rPr>
              <w:t xml:space="preserve"> </w:t>
            </w:r>
          </w:p>
        </w:tc>
        <w:tc>
          <w:tcPr>
            <w:tcW w:w="78" w:type="dxa"/>
            <w:shd w:val="clear" w:color="auto" w:fill="auto"/>
            <w:noWrap/>
            <w:vAlign w:val="bottom"/>
          </w:tcPr>
          <w:p w14:paraId="64135FEB" w14:textId="77777777" w:rsidR="00776BF7" w:rsidRPr="003B37F4" w:rsidRDefault="00776BF7" w:rsidP="00776BF7">
            <w:pPr>
              <w:widowControl/>
              <w:autoSpaceDE/>
              <w:autoSpaceDN/>
              <w:adjustRightInd/>
              <w:rPr>
                <w:szCs w:val="20"/>
              </w:rPr>
            </w:pPr>
          </w:p>
        </w:tc>
        <w:tc>
          <w:tcPr>
            <w:tcW w:w="1128" w:type="dxa"/>
            <w:shd w:val="clear" w:color="auto" w:fill="auto"/>
            <w:noWrap/>
            <w:vAlign w:val="bottom"/>
          </w:tcPr>
          <w:p w14:paraId="5653964F" w14:textId="1A02B35A" w:rsidR="00776BF7" w:rsidRPr="003B37F4" w:rsidRDefault="00776BF7" w:rsidP="00776BF7">
            <w:pPr>
              <w:widowControl/>
              <w:autoSpaceDE/>
              <w:autoSpaceDN/>
              <w:adjustRightInd/>
              <w:jc w:val="right"/>
              <w:rPr>
                <w:szCs w:val="20"/>
              </w:rPr>
            </w:pPr>
            <w:r w:rsidRPr="003B37F4">
              <w:rPr>
                <w:szCs w:val="20"/>
              </w:rPr>
              <w:t>$1,</w:t>
            </w:r>
            <w:r w:rsidR="0094068D" w:rsidRPr="003B37F4">
              <w:rPr>
                <w:szCs w:val="20"/>
              </w:rPr>
              <w:t>037,818</w:t>
            </w:r>
            <w:r w:rsidRPr="003B37F4">
              <w:rPr>
                <w:szCs w:val="20"/>
              </w:rPr>
              <w:t xml:space="preserve"> </w:t>
            </w:r>
          </w:p>
        </w:tc>
      </w:tr>
      <w:tr w:rsidR="00776BF7" w:rsidRPr="003B37F4" w14:paraId="00BB65D9" w14:textId="77777777" w:rsidTr="00215D7A">
        <w:trPr>
          <w:jc w:val="center"/>
        </w:trPr>
        <w:tc>
          <w:tcPr>
            <w:tcW w:w="3007" w:type="dxa"/>
            <w:shd w:val="clear" w:color="auto" w:fill="auto"/>
            <w:vAlign w:val="bottom"/>
          </w:tcPr>
          <w:p w14:paraId="03DD5E37" w14:textId="77777777" w:rsidR="00776BF7" w:rsidRPr="003B37F4" w:rsidRDefault="00776BF7" w:rsidP="00776BF7">
            <w:pPr>
              <w:widowControl/>
              <w:autoSpaceDE/>
              <w:autoSpaceDN/>
              <w:adjustRightInd/>
              <w:rPr>
                <w:szCs w:val="20"/>
              </w:rPr>
            </w:pPr>
            <w:r w:rsidRPr="003B37F4">
              <w:rPr>
                <w:szCs w:val="20"/>
              </w:rPr>
              <w:t>Total Net Assets</w:t>
            </w:r>
          </w:p>
        </w:tc>
        <w:tc>
          <w:tcPr>
            <w:tcW w:w="1128" w:type="dxa"/>
            <w:shd w:val="clear" w:color="auto" w:fill="auto"/>
            <w:noWrap/>
            <w:vAlign w:val="bottom"/>
          </w:tcPr>
          <w:p w14:paraId="5E741655" w14:textId="6BB42353" w:rsidR="00776BF7" w:rsidRPr="003B37F4" w:rsidRDefault="00776BF7" w:rsidP="00776BF7">
            <w:pPr>
              <w:widowControl/>
              <w:autoSpaceDE/>
              <w:autoSpaceDN/>
              <w:adjustRightInd/>
              <w:jc w:val="right"/>
              <w:rPr>
                <w:szCs w:val="20"/>
              </w:rPr>
            </w:pPr>
            <w:r w:rsidRPr="003B37F4">
              <w:rPr>
                <w:szCs w:val="20"/>
              </w:rPr>
              <w:t>$1,</w:t>
            </w:r>
            <w:r w:rsidR="00B320C9" w:rsidRPr="003B37F4">
              <w:rPr>
                <w:szCs w:val="20"/>
              </w:rPr>
              <w:t>441,416</w:t>
            </w:r>
            <w:r w:rsidRPr="003B37F4">
              <w:rPr>
                <w:szCs w:val="20"/>
              </w:rPr>
              <w:t xml:space="preserve"> </w:t>
            </w:r>
          </w:p>
        </w:tc>
        <w:tc>
          <w:tcPr>
            <w:tcW w:w="78" w:type="dxa"/>
            <w:shd w:val="clear" w:color="auto" w:fill="auto"/>
            <w:noWrap/>
            <w:vAlign w:val="bottom"/>
          </w:tcPr>
          <w:p w14:paraId="2689971E" w14:textId="77777777" w:rsidR="00776BF7" w:rsidRPr="003B37F4" w:rsidRDefault="00776BF7" w:rsidP="00776BF7">
            <w:pPr>
              <w:widowControl/>
              <w:autoSpaceDE/>
              <w:autoSpaceDN/>
              <w:adjustRightInd/>
              <w:rPr>
                <w:szCs w:val="20"/>
              </w:rPr>
            </w:pPr>
          </w:p>
        </w:tc>
        <w:tc>
          <w:tcPr>
            <w:tcW w:w="1128" w:type="dxa"/>
            <w:shd w:val="clear" w:color="auto" w:fill="auto"/>
            <w:noWrap/>
            <w:vAlign w:val="bottom"/>
          </w:tcPr>
          <w:p w14:paraId="07772462" w14:textId="6527158F" w:rsidR="00776BF7" w:rsidRPr="003B37F4" w:rsidRDefault="00776BF7" w:rsidP="00776BF7">
            <w:pPr>
              <w:widowControl/>
              <w:autoSpaceDE/>
              <w:autoSpaceDN/>
              <w:adjustRightInd/>
              <w:jc w:val="right"/>
              <w:rPr>
                <w:szCs w:val="20"/>
              </w:rPr>
            </w:pPr>
            <w:r w:rsidRPr="003B37F4">
              <w:rPr>
                <w:szCs w:val="20"/>
              </w:rPr>
              <w:t>$1,</w:t>
            </w:r>
            <w:r w:rsidR="0094068D" w:rsidRPr="003B37F4">
              <w:rPr>
                <w:szCs w:val="20"/>
              </w:rPr>
              <w:t>396,203</w:t>
            </w:r>
            <w:r w:rsidRPr="003B37F4">
              <w:rPr>
                <w:szCs w:val="20"/>
              </w:rPr>
              <w:t xml:space="preserve"> </w:t>
            </w:r>
          </w:p>
        </w:tc>
      </w:tr>
    </w:tbl>
    <w:p w14:paraId="303EE9AF" w14:textId="77777777" w:rsidR="0041766F" w:rsidRPr="003B37F4" w:rsidRDefault="0041766F" w:rsidP="0041766F">
      <w:pPr>
        <w:jc w:val="center"/>
        <w:rPr>
          <w:rFonts w:cs="Arial"/>
          <w:szCs w:val="20"/>
        </w:rPr>
      </w:pPr>
    </w:p>
    <w:p w14:paraId="7897ACB9" w14:textId="77777777" w:rsidR="0041766F" w:rsidRPr="003B37F4" w:rsidRDefault="0041766F" w:rsidP="0041766F">
      <w:pPr>
        <w:jc w:val="both"/>
        <w:rPr>
          <w:rFonts w:cs="Arial"/>
          <w:szCs w:val="20"/>
        </w:rPr>
      </w:pPr>
    </w:p>
    <w:p w14:paraId="6DCA2BDA" w14:textId="1DE6BAFD" w:rsidR="0041766F" w:rsidRPr="003B37F4" w:rsidRDefault="0041766F" w:rsidP="0041766F">
      <w:pPr>
        <w:jc w:val="both"/>
        <w:rPr>
          <w:rFonts w:cs="Arial"/>
          <w:szCs w:val="20"/>
        </w:rPr>
      </w:pPr>
      <w:r w:rsidRPr="003B37F4">
        <w:rPr>
          <w:rFonts w:cs="Arial"/>
          <w:szCs w:val="20"/>
        </w:rPr>
        <w:t xml:space="preserve">As mentioned previously, net assets of all governmental activities </w:t>
      </w:r>
      <w:r w:rsidR="0090453A" w:rsidRPr="003B37F4">
        <w:rPr>
          <w:rFonts w:cs="Arial"/>
          <w:szCs w:val="20"/>
        </w:rPr>
        <w:t>in</w:t>
      </w:r>
      <w:r w:rsidR="0090612D" w:rsidRPr="003B37F4">
        <w:rPr>
          <w:rFonts w:cs="Arial"/>
          <w:szCs w:val="20"/>
        </w:rPr>
        <w:t>creased</w:t>
      </w:r>
      <w:r w:rsidR="008774F5" w:rsidRPr="003B37F4">
        <w:rPr>
          <w:rFonts w:cs="Arial"/>
          <w:szCs w:val="20"/>
        </w:rPr>
        <w:t xml:space="preserve"> by </w:t>
      </w:r>
      <w:r w:rsidR="0019700B" w:rsidRPr="003B37F4">
        <w:rPr>
          <w:rFonts w:cs="Arial"/>
          <w:szCs w:val="20"/>
        </w:rPr>
        <w:t>$</w:t>
      </w:r>
      <w:r w:rsidR="0090453A" w:rsidRPr="003B37F4">
        <w:rPr>
          <w:rFonts w:cs="Arial"/>
          <w:szCs w:val="20"/>
        </w:rPr>
        <w:t>4</w:t>
      </w:r>
      <w:r w:rsidR="006147A2" w:rsidRPr="003B37F4">
        <w:rPr>
          <w:rFonts w:cs="Arial"/>
          <w:szCs w:val="20"/>
        </w:rPr>
        <w:t>5,213</w:t>
      </w:r>
      <w:r w:rsidR="0019700B" w:rsidRPr="003B37F4">
        <w:rPr>
          <w:rFonts w:cs="Arial"/>
          <w:szCs w:val="20"/>
        </w:rPr>
        <w:t xml:space="preserve"> </w:t>
      </w:r>
      <w:r w:rsidRPr="003B37F4">
        <w:rPr>
          <w:rFonts w:cs="Arial"/>
          <w:szCs w:val="20"/>
        </w:rPr>
        <w:t xml:space="preserve">during </w:t>
      </w:r>
      <w:r w:rsidR="005A3182" w:rsidRPr="003B37F4">
        <w:rPr>
          <w:rFonts w:cs="Arial"/>
          <w:szCs w:val="20"/>
        </w:rPr>
        <w:t>20</w:t>
      </w:r>
      <w:r w:rsidR="0019700B" w:rsidRPr="003B37F4">
        <w:rPr>
          <w:rFonts w:cs="Arial"/>
          <w:szCs w:val="20"/>
        </w:rPr>
        <w:t>2</w:t>
      </w:r>
      <w:r w:rsidR="0090453A" w:rsidRPr="003B37F4">
        <w:rPr>
          <w:rFonts w:cs="Arial"/>
          <w:szCs w:val="20"/>
        </w:rPr>
        <w:t>2</w:t>
      </w:r>
      <w:r w:rsidRPr="003B37F4">
        <w:rPr>
          <w:rFonts w:cs="Arial"/>
          <w:szCs w:val="20"/>
        </w:rPr>
        <w:t xml:space="preserve">.  The primary reasons contributing to </w:t>
      </w:r>
      <w:r w:rsidR="008774F5" w:rsidRPr="003B37F4">
        <w:rPr>
          <w:rFonts w:cs="Arial"/>
          <w:szCs w:val="20"/>
        </w:rPr>
        <w:t xml:space="preserve">the </w:t>
      </w:r>
      <w:r w:rsidR="002A0D4F" w:rsidRPr="003B37F4">
        <w:rPr>
          <w:rFonts w:cs="Arial"/>
          <w:szCs w:val="20"/>
        </w:rPr>
        <w:t>de</w:t>
      </w:r>
      <w:r w:rsidR="0090612D" w:rsidRPr="003B37F4">
        <w:rPr>
          <w:rFonts w:cs="Arial"/>
          <w:szCs w:val="20"/>
        </w:rPr>
        <w:t>creases</w:t>
      </w:r>
      <w:r w:rsidRPr="003B37F4">
        <w:rPr>
          <w:rFonts w:cs="Arial"/>
          <w:szCs w:val="20"/>
        </w:rPr>
        <w:t xml:space="preserve"> in cash balances are as follows:</w:t>
      </w:r>
    </w:p>
    <w:p w14:paraId="4D4DB444" w14:textId="54066F22" w:rsidR="00822B7B" w:rsidRPr="003B37F4" w:rsidRDefault="00822B7B" w:rsidP="004B7D0D">
      <w:pPr>
        <w:jc w:val="both"/>
        <w:rPr>
          <w:rFonts w:cs="Arial"/>
          <w:szCs w:val="20"/>
        </w:rPr>
      </w:pPr>
      <w:bookmarkStart w:id="18" w:name="_Toc284945511"/>
      <w:bookmarkStart w:id="19" w:name="_Toc315938403"/>
    </w:p>
    <w:p w14:paraId="28AD489E" w14:textId="61841126" w:rsidR="0019700B" w:rsidRPr="003B37F4" w:rsidRDefault="004B7D0D" w:rsidP="00822B7B">
      <w:pPr>
        <w:pStyle w:val="ListParagraph"/>
        <w:numPr>
          <w:ilvl w:val="0"/>
          <w:numId w:val="2"/>
        </w:numPr>
        <w:jc w:val="both"/>
        <w:rPr>
          <w:rFonts w:cs="Arial"/>
          <w:szCs w:val="20"/>
        </w:rPr>
      </w:pPr>
      <w:r w:rsidRPr="003B37F4">
        <w:rPr>
          <w:rFonts w:cs="Arial"/>
          <w:szCs w:val="20"/>
        </w:rPr>
        <w:t>Increased</w:t>
      </w:r>
      <w:r w:rsidR="002A0D4F" w:rsidRPr="003B37F4">
        <w:rPr>
          <w:rFonts w:cs="Arial"/>
          <w:szCs w:val="20"/>
        </w:rPr>
        <w:t xml:space="preserve"> fees for services due to COVID-19 pandemic</w:t>
      </w:r>
      <w:r w:rsidRPr="003B37F4">
        <w:rPr>
          <w:rFonts w:cs="Arial"/>
          <w:szCs w:val="20"/>
        </w:rPr>
        <w:t xml:space="preserve"> workload lessening</w:t>
      </w:r>
    </w:p>
    <w:p w14:paraId="251255F7" w14:textId="694EA336" w:rsidR="004B7D0D" w:rsidRPr="003B37F4" w:rsidRDefault="004B7D0D" w:rsidP="00822B7B">
      <w:pPr>
        <w:pStyle w:val="ListParagraph"/>
        <w:numPr>
          <w:ilvl w:val="0"/>
          <w:numId w:val="2"/>
        </w:numPr>
        <w:jc w:val="both"/>
        <w:rPr>
          <w:rFonts w:cs="Arial"/>
          <w:szCs w:val="20"/>
        </w:rPr>
      </w:pPr>
      <w:r w:rsidRPr="003B37F4">
        <w:rPr>
          <w:rFonts w:cs="Arial"/>
          <w:szCs w:val="20"/>
        </w:rPr>
        <w:t>Reimbursement for COVID-19-related activities</w:t>
      </w:r>
    </w:p>
    <w:p w14:paraId="3909719E" w14:textId="77777777" w:rsidR="00822B7B" w:rsidRPr="003B37F4" w:rsidRDefault="00822B7B" w:rsidP="0041766F">
      <w:pPr>
        <w:jc w:val="both"/>
        <w:rPr>
          <w:rFonts w:cs="Arial"/>
          <w:szCs w:val="20"/>
        </w:rPr>
      </w:pPr>
    </w:p>
    <w:p w14:paraId="3A5884BA" w14:textId="77777777" w:rsidR="00822B7B" w:rsidRPr="003B37F4" w:rsidRDefault="00822B7B" w:rsidP="0041766F">
      <w:pPr>
        <w:jc w:val="both"/>
        <w:rPr>
          <w:rFonts w:cs="Arial"/>
          <w:szCs w:val="20"/>
        </w:rPr>
      </w:pPr>
    </w:p>
    <w:p w14:paraId="70E8B49A" w14:textId="77777777" w:rsidR="00822B7B" w:rsidRPr="003B37F4" w:rsidRDefault="00822B7B" w:rsidP="0041766F">
      <w:pPr>
        <w:jc w:val="both"/>
        <w:rPr>
          <w:rFonts w:cs="Arial"/>
          <w:szCs w:val="20"/>
        </w:rPr>
      </w:pPr>
    </w:p>
    <w:p w14:paraId="2A655A67" w14:textId="77777777" w:rsidR="00822B7B" w:rsidRPr="003B37F4" w:rsidRDefault="00822B7B" w:rsidP="0041766F">
      <w:pPr>
        <w:jc w:val="both"/>
        <w:rPr>
          <w:rFonts w:cs="Arial"/>
          <w:szCs w:val="20"/>
        </w:rPr>
      </w:pPr>
    </w:p>
    <w:p w14:paraId="0D49EEF9" w14:textId="77777777" w:rsidR="00822B7B" w:rsidRPr="003B37F4" w:rsidRDefault="00822B7B" w:rsidP="0041766F">
      <w:pPr>
        <w:jc w:val="both"/>
        <w:rPr>
          <w:rFonts w:cs="Arial"/>
          <w:szCs w:val="20"/>
        </w:rPr>
      </w:pPr>
    </w:p>
    <w:p w14:paraId="686179DB" w14:textId="77777777" w:rsidR="00822B7B" w:rsidRPr="003B37F4" w:rsidRDefault="00822B7B" w:rsidP="0041766F">
      <w:pPr>
        <w:jc w:val="both"/>
        <w:rPr>
          <w:rFonts w:cs="Arial"/>
          <w:szCs w:val="20"/>
        </w:rPr>
      </w:pPr>
    </w:p>
    <w:p w14:paraId="7E8CB79F" w14:textId="77777777" w:rsidR="00822B7B" w:rsidRPr="003B37F4" w:rsidRDefault="00822B7B" w:rsidP="0041766F">
      <w:pPr>
        <w:jc w:val="both"/>
        <w:rPr>
          <w:rFonts w:cs="Arial"/>
          <w:szCs w:val="20"/>
        </w:rPr>
      </w:pPr>
    </w:p>
    <w:p w14:paraId="776D52A2" w14:textId="77777777" w:rsidR="00822B7B" w:rsidRPr="003B37F4" w:rsidRDefault="00822B7B" w:rsidP="0041766F">
      <w:pPr>
        <w:jc w:val="both"/>
        <w:rPr>
          <w:rFonts w:cs="Arial"/>
          <w:szCs w:val="20"/>
        </w:rPr>
      </w:pPr>
    </w:p>
    <w:p w14:paraId="38080511" w14:textId="77777777" w:rsidR="00822B7B" w:rsidRPr="003B37F4" w:rsidRDefault="00822B7B" w:rsidP="0041766F">
      <w:pPr>
        <w:jc w:val="both"/>
        <w:rPr>
          <w:rFonts w:cs="Arial"/>
          <w:szCs w:val="20"/>
        </w:rPr>
      </w:pPr>
    </w:p>
    <w:p w14:paraId="26B72C87" w14:textId="77777777" w:rsidR="00822B7B" w:rsidRPr="003B37F4" w:rsidRDefault="00822B7B" w:rsidP="0041766F">
      <w:pPr>
        <w:jc w:val="both"/>
        <w:rPr>
          <w:rFonts w:cs="Arial"/>
          <w:szCs w:val="20"/>
        </w:rPr>
      </w:pPr>
    </w:p>
    <w:p w14:paraId="5C33F83B" w14:textId="77777777" w:rsidR="00822B7B" w:rsidRPr="003B37F4" w:rsidRDefault="00822B7B" w:rsidP="0041766F">
      <w:pPr>
        <w:jc w:val="both"/>
        <w:rPr>
          <w:rFonts w:eastAsiaTheme="minorEastAsia" w:cs="Arial"/>
          <w:szCs w:val="20"/>
          <w:lang w:eastAsia="ja-JP"/>
        </w:rPr>
      </w:pPr>
    </w:p>
    <w:p w14:paraId="754C924A" w14:textId="77777777" w:rsidR="00822B7B" w:rsidRPr="003B37F4" w:rsidRDefault="00822B7B" w:rsidP="0041766F">
      <w:pPr>
        <w:jc w:val="both"/>
        <w:rPr>
          <w:rFonts w:cs="Arial"/>
          <w:szCs w:val="20"/>
        </w:rPr>
      </w:pPr>
    </w:p>
    <w:p w14:paraId="15950D4F" w14:textId="7F76622D" w:rsidR="0041766F" w:rsidRPr="003B37F4" w:rsidRDefault="0041766F" w:rsidP="0041766F">
      <w:pPr>
        <w:jc w:val="both"/>
        <w:rPr>
          <w:rFonts w:cs="Arial"/>
          <w:szCs w:val="20"/>
        </w:rPr>
      </w:pPr>
      <w:r w:rsidRPr="003B37F4">
        <w:rPr>
          <w:rStyle w:val="Heading3Char"/>
        </w:rPr>
        <w:t xml:space="preserve">Table 2 </w:t>
      </w:r>
      <w:r w:rsidR="00184E6A" w:rsidRPr="003B37F4">
        <w:rPr>
          <w:rStyle w:val="Heading3Char"/>
        </w:rPr>
        <w:t xml:space="preserve">Change </w:t>
      </w:r>
      <w:proofErr w:type="gramStart"/>
      <w:r w:rsidR="00184E6A" w:rsidRPr="003B37F4">
        <w:rPr>
          <w:rStyle w:val="Heading3Char"/>
        </w:rPr>
        <w:t>In</w:t>
      </w:r>
      <w:proofErr w:type="gramEnd"/>
      <w:r w:rsidR="00184E6A" w:rsidRPr="003B37F4">
        <w:rPr>
          <w:rStyle w:val="Heading3Char"/>
        </w:rPr>
        <w:t xml:space="preserve"> Net Assets</w:t>
      </w:r>
      <w:bookmarkEnd w:id="18"/>
      <w:bookmarkEnd w:id="19"/>
      <w:r w:rsidR="00184E6A" w:rsidRPr="003B37F4">
        <w:rPr>
          <w:rFonts w:cs="Arial"/>
          <w:szCs w:val="20"/>
        </w:rPr>
        <w:t xml:space="preserve"> </w:t>
      </w:r>
      <w:r w:rsidRPr="003B37F4">
        <w:rPr>
          <w:rFonts w:cs="Arial"/>
          <w:szCs w:val="20"/>
        </w:rPr>
        <w:t>re</w:t>
      </w:r>
      <w:r w:rsidR="0036460E" w:rsidRPr="003B37F4">
        <w:rPr>
          <w:rFonts w:cs="Arial"/>
          <w:szCs w:val="20"/>
        </w:rPr>
        <w:t>flects the changes in net position</w:t>
      </w:r>
      <w:r w:rsidRPr="003B37F4">
        <w:rPr>
          <w:rFonts w:cs="Arial"/>
          <w:szCs w:val="20"/>
        </w:rPr>
        <w:t xml:space="preserve"> in </w:t>
      </w:r>
      <w:r w:rsidR="00BF3CCD" w:rsidRPr="003B37F4">
        <w:rPr>
          <w:rFonts w:cs="Arial"/>
          <w:szCs w:val="20"/>
        </w:rPr>
        <w:t>20</w:t>
      </w:r>
      <w:r w:rsidR="0056024F" w:rsidRPr="003B37F4">
        <w:rPr>
          <w:rFonts w:cs="Arial"/>
          <w:szCs w:val="20"/>
        </w:rPr>
        <w:t>2</w:t>
      </w:r>
      <w:r w:rsidR="006966C5" w:rsidRPr="003B37F4">
        <w:rPr>
          <w:rFonts w:cs="Arial"/>
          <w:szCs w:val="20"/>
        </w:rPr>
        <w:t>2</w:t>
      </w:r>
      <w:r w:rsidRPr="003B37F4">
        <w:rPr>
          <w:rFonts w:cs="Arial"/>
          <w:szCs w:val="20"/>
        </w:rPr>
        <w:t>.  A comparative analysis of District-wide data is presented.</w:t>
      </w:r>
    </w:p>
    <w:p w14:paraId="122C3CE2" w14:textId="77777777" w:rsidR="0041766F" w:rsidRPr="003B37F4" w:rsidRDefault="0041766F" w:rsidP="0041766F">
      <w:pPr>
        <w:tabs>
          <w:tab w:val="left" w:pos="547"/>
          <w:tab w:val="left" w:pos="907"/>
          <w:tab w:val="left" w:pos="1440"/>
          <w:tab w:val="left" w:pos="1987"/>
          <w:tab w:val="left" w:pos="2347"/>
        </w:tabs>
        <w:jc w:val="both"/>
        <w:rPr>
          <w:lang w:eastAsia="ja-JP"/>
        </w:rPr>
      </w:pPr>
    </w:p>
    <w:tbl>
      <w:tblPr>
        <w:tblpPr w:leftFromText="180" w:rightFromText="180" w:vertAnchor="text" w:tblpY="1"/>
        <w:tblOverlap w:val="never"/>
        <w:tblW w:w="8008" w:type="dxa"/>
        <w:tblLook w:val="04A0" w:firstRow="1" w:lastRow="0" w:firstColumn="1" w:lastColumn="0" w:noHBand="0" w:noVBand="1"/>
      </w:tblPr>
      <w:tblGrid>
        <w:gridCol w:w="3251"/>
        <w:gridCol w:w="884"/>
        <w:gridCol w:w="1217"/>
        <w:gridCol w:w="1017"/>
        <w:gridCol w:w="1217"/>
        <w:gridCol w:w="297"/>
        <w:gridCol w:w="125"/>
      </w:tblGrid>
      <w:tr w:rsidR="008C1AA8" w:rsidRPr="003B37F4" w14:paraId="18A5C565" w14:textId="77777777" w:rsidTr="00313653">
        <w:trPr>
          <w:gridAfter w:val="2"/>
          <w:wAfter w:w="1217" w:type="dxa"/>
          <w:trHeight w:val="255"/>
        </w:trPr>
        <w:tc>
          <w:tcPr>
            <w:tcW w:w="6791" w:type="dxa"/>
            <w:gridSpan w:val="5"/>
            <w:tcBorders>
              <w:top w:val="nil"/>
              <w:left w:val="nil"/>
              <w:bottom w:val="nil"/>
              <w:right w:val="nil"/>
            </w:tcBorders>
            <w:shd w:val="clear" w:color="auto" w:fill="auto"/>
            <w:noWrap/>
            <w:vAlign w:val="center"/>
            <w:hideMark/>
          </w:tcPr>
          <w:p w14:paraId="462871E2" w14:textId="77777777" w:rsidR="008C1AA8" w:rsidRPr="003B37F4" w:rsidRDefault="008C1AA8" w:rsidP="00615EB3">
            <w:pPr>
              <w:widowControl/>
              <w:autoSpaceDE/>
              <w:autoSpaceDN/>
              <w:adjustRightInd/>
              <w:jc w:val="center"/>
              <w:rPr>
                <w:rFonts w:cs="Arial"/>
                <w:b/>
                <w:bCs/>
                <w:szCs w:val="20"/>
              </w:rPr>
            </w:pPr>
            <w:r w:rsidRPr="003B37F4">
              <w:rPr>
                <w:rFonts w:cs="Arial"/>
                <w:b/>
                <w:bCs/>
                <w:szCs w:val="20"/>
              </w:rPr>
              <w:t>(Table 2)</w:t>
            </w:r>
          </w:p>
        </w:tc>
      </w:tr>
      <w:tr w:rsidR="008C1AA8" w:rsidRPr="003B37F4" w14:paraId="4CD79671" w14:textId="77777777" w:rsidTr="00313653">
        <w:trPr>
          <w:gridAfter w:val="2"/>
          <w:wAfter w:w="1217" w:type="dxa"/>
          <w:trHeight w:val="270"/>
        </w:trPr>
        <w:tc>
          <w:tcPr>
            <w:tcW w:w="6791" w:type="dxa"/>
            <w:gridSpan w:val="5"/>
            <w:tcBorders>
              <w:top w:val="nil"/>
              <w:left w:val="nil"/>
              <w:bottom w:val="single" w:sz="8" w:space="0" w:color="auto"/>
              <w:right w:val="nil"/>
            </w:tcBorders>
            <w:shd w:val="clear" w:color="auto" w:fill="auto"/>
            <w:noWrap/>
            <w:vAlign w:val="center"/>
            <w:hideMark/>
          </w:tcPr>
          <w:p w14:paraId="2A926273" w14:textId="77777777" w:rsidR="008C1AA8" w:rsidRPr="003B37F4" w:rsidRDefault="008C1AA8" w:rsidP="00615EB3">
            <w:pPr>
              <w:widowControl/>
              <w:autoSpaceDE/>
              <w:autoSpaceDN/>
              <w:adjustRightInd/>
              <w:jc w:val="center"/>
              <w:rPr>
                <w:rFonts w:cs="Arial"/>
                <w:b/>
                <w:bCs/>
                <w:szCs w:val="20"/>
              </w:rPr>
            </w:pPr>
            <w:r w:rsidRPr="003B37F4">
              <w:rPr>
                <w:rFonts w:cs="Arial"/>
                <w:b/>
                <w:bCs/>
                <w:szCs w:val="20"/>
              </w:rPr>
              <w:t>Changes in Net Position</w:t>
            </w:r>
          </w:p>
        </w:tc>
      </w:tr>
      <w:tr w:rsidR="008C1AA8" w:rsidRPr="003B37F4" w14:paraId="056D5AC8" w14:textId="77777777" w:rsidTr="00313653">
        <w:trPr>
          <w:gridAfter w:val="2"/>
          <w:wAfter w:w="1217" w:type="dxa"/>
          <w:trHeight w:val="255"/>
        </w:trPr>
        <w:tc>
          <w:tcPr>
            <w:tcW w:w="3251" w:type="dxa"/>
            <w:tcBorders>
              <w:top w:val="nil"/>
              <w:left w:val="nil"/>
              <w:bottom w:val="nil"/>
              <w:right w:val="nil"/>
            </w:tcBorders>
            <w:shd w:val="clear" w:color="auto" w:fill="auto"/>
            <w:noWrap/>
            <w:vAlign w:val="center"/>
            <w:hideMark/>
          </w:tcPr>
          <w:p w14:paraId="05B33D87" w14:textId="77777777" w:rsidR="008C1AA8" w:rsidRPr="003B37F4" w:rsidRDefault="008C1AA8" w:rsidP="00615EB3">
            <w:pPr>
              <w:widowControl/>
              <w:autoSpaceDE/>
              <w:autoSpaceDN/>
              <w:adjustRightInd/>
              <w:rPr>
                <w:rFonts w:cs="Arial"/>
                <w:szCs w:val="20"/>
              </w:rPr>
            </w:pPr>
          </w:p>
        </w:tc>
        <w:tc>
          <w:tcPr>
            <w:tcW w:w="222" w:type="dxa"/>
            <w:tcBorders>
              <w:top w:val="nil"/>
              <w:left w:val="nil"/>
              <w:bottom w:val="nil"/>
              <w:right w:val="nil"/>
            </w:tcBorders>
            <w:shd w:val="clear" w:color="auto" w:fill="auto"/>
            <w:noWrap/>
            <w:vAlign w:val="center"/>
            <w:hideMark/>
          </w:tcPr>
          <w:p w14:paraId="484C1AAA" w14:textId="77777777" w:rsidR="008C1AA8" w:rsidRPr="003B37F4" w:rsidRDefault="008C1AA8" w:rsidP="00615EB3">
            <w:pPr>
              <w:widowControl/>
              <w:autoSpaceDE/>
              <w:autoSpaceDN/>
              <w:adjustRightInd/>
              <w:rPr>
                <w:rFonts w:cs="Arial"/>
                <w:szCs w:val="20"/>
              </w:rPr>
            </w:pPr>
          </w:p>
        </w:tc>
        <w:tc>
          <w:tcPr>
            <w:tcW w:w="1217" w:type="dxa"/>
            <w:tcBorders>
              <w:top w:val="nil"/>
              <w:left w:val="nil"/>
              <w:bottom w:val="nil"/>
              <w:right w:val="nil"/>
            </w:tcBorders>
            <w:shd w:val="clear" w:color="auto" w:fill="auto"/>
            <w:noWrap/>
            <w:vAlign w:val="center"/>
            <w:hideMark/>
          </w:tcPr>
          <w:p w14:paraId="2AA7D58F" w14:textId="77777777" w:rsidR="008C1AA8" w:rsidRPr="003B37F4" w:rsidRDefault="008C1AA8" w:rsidP="00615EB3">
            <w:pPr>
              <w:widowControl/>
              <w:autoSpaceDE/>
              <w:autoSpaceDN/>
              <w:adjustRightInd/>
              <w:rPr>
                <w:rFonts w:cs="Arial"/>
                <w:szCs w:val="20"/>
              </w:rPr>
            </w:pPr>
          </w:p>
        </w:tc>
        <w:tc>
          <w:tcPr>
            <w:tcW w:w="884" w:type="dxa"/>
            <w:tcBorders>
              <w:top w:val="nil"/>
              <w:left w:val="nil"/>
              <w:bottom w:val="nil"/>
              <w:right w:val="nil"/>
            </w:tcBorders>
            <w:shd w:val="clear" w:color="auto" w:fill="auto"/>
            <w:noWrap/>
            <w:vAlign w:val="center"/>
            <w:hideMark/>
          </w:tcPr>
          <w:p w14:paraId="03B894B6" w14:textId="77777777" w:rsidR="008C1AA8" w:rsidRPr="003B37F4" w:rsidRDefault="008C1AA8" w:rsidP="00615EB3">
            <w:pPr>
              <w:widowControl/>
              <w:autoSpaceDE/>
              <w:autoSpaceDN/>
              <w:adjustRightInd/>
              <w:rPr>
                <w:rFonts w:cs="Arial"/>
                <w:szCs w:val="20"/>
              </w:rPr>
            </w:pPr>
          </w:p>
        </w:tc>
        <w:tc>
          <w:tcPr>
            <w:tcW w:w="1217" w:type="dxa"/>
            <w:tcBorders>
              <w:top w:val="nil"/>
              <w:left w:val="nil"/>
              <w:bottom w:val="nil"/>
              <w:right w:val="nil"/>
            </w:tcBorders>
            <w:shd w:val="clear" w:color="auto" w:fill="auto"/>
            <w:noWrap/>
            <w:vAlign w:val="center"/>
            <w:hideMark/>
          </w:tcPr>
          <w:p w14:paraId="5B2DC1B6" w14:textId="77777777" w:rsidR="008C1AA8" w:rsidRPr="003B37F4" w:rsidRDefault="008C1AA8" w:rsidP="00615EB3">
            <w:pPr>
              <w:widowControl/>
              <w:autoSpaceDE/>
              <w:autoSpaceDN/>
              <w:adjustRightInd/>
              <w:rPr>
                <w:rFonts w:cs="Arial"/>
                <w:szCs w:val="20"/>
              </w:rPr>
            </w:pPr>
          </w:p>
        </w:tc>
      </w:tr>
      <w:tr w:rsidR="008C1AA8" w:rsidRPr="003B37F4" w14:paraId="61387ABA" w14:textId="77777777" w:rsidTr="00313653">
        <w:trPr>
          <w:gridAfter w:val="2"/>
          <w:wAfter w:w="1217" w:type="dxa"/>
          <w:trHeight w:val="255"/>
        </w:trPr>
        <w:tc>
          <w:tcPr>
            <w:tcW w:w="3251" w:type="dxa"/>
            <w:tcBorders>
              <w:top w:val="nil"/>
              <w:left w:val="nil"/>
              <w:bottom w:val="nil"/>
              <w:right w:val="nil"/>
            </w:tcBorders>
            <w:shd w:val="clear" w:color="auto" w:fill="auto"/>
            <w:noWrap/>
            <w:vAlign w:val="center"/>
            <w:hideMark/>
          </w:tcPr>
          <w:p w14:paraId="4F406134" w14:textId="77777777" w:rsidR="008C1AA8" w:rsidRPr="003B37F4" w:rsidRDefault="008C1AA8" w:rsidP="00615EB3">
            <w:pPr>
              <w:widowControl/>
              <w:autoSpaceDE/>
              <w:autoSpaceDN/>
              <w:adjustRightInd/>
              <w:rPr>
                <w:rFonts w:cs="Arial"/>
                <w:szCs w:val="20"/>
              </w:rPr>
            </w:pPr>
          </w:p>
        </w:tc>
        <w:tc>
          <w:tcPr>
            <w:tcW w:w="222" w:type="dxa"/>
            <w:tcBorders>
              <w:top w:val="nil"/>
              <w:left w:val="nil"/>
              <w:bottom w:val="nil"/>
              <w:right w:val="nil"/>
            </w:tcBorders>
            <w:shd w:val="clear" w:color="auto" w:fill="auto"/>
            <w:noWrap/>
            <w:vAlign w:val="center"/>
            <w:hideMark/>
          </w:tcPr>
          <w:p w14:paraId="73DDEAB8" w14:textId="77777777" w:rsidR="008C1AA8" w:rsidRPr="003B37F4" w:rsidRDefault="008C1AA8" w:rsidP="00615EB3">
            <w:pPr>
              <w:widowControl/>
              <w:autoSpaceDE/>
              <w:autoSpaceDN/>
              <w:adjustRightInd/>
              <w:jc w:val="center"/>
              <w:rPr>
                <w:rFonts w:cs="Arial"/>
                <w:szCs w:val="20"/>
              </w:rPr>
            </w:pPr>
          </w:p>
        </w:tc>
        <w:tc>
          <w:tcPr>
            <w:tcW w:w="3318" w:type="dxa"/>
            <w:gridSpan w:val="3"/>
            <w:tcBorders>
              <w:top w:val="nil"/>
              <w:left w:val="nil"/>
              <w:bottom w:val="nil"/>
              <w:right w:val="nil"/>
            </w:tcBorders>
            <w:shd w:val="clear" w:color="auto" w:fill="auto"/>
            <w:noWrap/>
            <w:vAlign w:val="center"/>
            <w:hideMark/>
          </w:tcPr>
          <w:p w14:paraId="23828517" w14:textId="77777777" w:rsidR="008C1AA8" w:rsidRPr="003B37F4" w:rsidRDefault="008C1AA8" w:rsidP="00615EB3">
            <w:pPr>
              <w:widowControl/>
              <w:autoSpaceDE/>
              <w:autoSpaceDN/>
              <w:adjustRightInd/>
              <w:jc w:val="center"/>
              <w:rPr>
                <w:rFonts w:cs="Arial"/>
                <w:b/>
                <w:bCs/>
                <w:szCs w:val="20"/>
              </w:rPr>
            </w:pPr>
            <w:r w:rsidRPr="003B37F4">
              <w:rPr>
                <w:rFonts w:cs="Arial"/>
                <w:b/>
                <w:bCs/>
                <w:szCs w:val="20"/>
              </w:rPr>
              <w:t>Governmental</w:t>
            </w:r>
          </w:p>
        </w:tc>
      </w:tr>
      <w:tr w:rsidR="008C1AA8" w:rsidRPr="003B37F4" w14:paraId="4D08C4C8" w14:textId="77777777" w:rsidTr="00313653">
        <w:trPr>
          <w:gridAfter w:val="2"/>
          <w:wAfter w:w="1217" w:type="dxa"/>
          <w:trHeight w:val="270"/>
        </w:trPr>
        <w:tc>
          <w:tcPr>
            <w:tcW w:w="3251" w:type="dxa"/>
            <w:tcBorders>
              <w:top w:val="nil"/>
              <w:left w:val="nil"/>
              <w:bottom w:val="nil"/>
              <w:right w:val="nil"/>
            </w:tcBorders>
            <w:shd w:val="clear" w:color="auto" w:fill="auto"/>
            <w:noWrap/>
            <w:vAlign w:val="center"/>
            <w:hideMark/>
          </w:tcPr>
          <w:p w14:paraId="4EC91453" w14:textId="77777777" w:rsidR="008C1AA8" w:rsidRPr="003B37F4" w:rsidRDefault="008C1AA8" w:rsidP="00615EB3">
            <w:pPr>
              <w:widowControl/>
              <w:autoSpaceDE/>
              <w:autoSpaceDN/>
              <w:adjustRightInd/>
              <w:rPr>
                <w:rFonts w:cs="Arial"/>
                <w:szCs w:val="20"/>
              </w:rPr>
            </w:pPr>
          </w:p>
        </w:tc>
        <w:tc>
          <w:tcPr>
            <w:tcW w:w="222" w:type="dxa"/>
            <w:tcBorders>
              <w:top w:val="nil"/>
              <w:left w:val="nil"/>
              <w:bottom w:val="nil"/>
              <w:right w:val="nil"/>
            </w:tcBorders>
            <w:shd w:val="clear" w:color="auto" w:fill="auto"/>
            <w:noWrap/>
            <w:vAlign w:val="center"/>
            <w:hideMark/>
          </w:tcPr>
          <w:p w14:paraId="131D9D6E" w14:textId="77777777" w:rsidR="008C1AA8" w:rsidRPr="003B37F4" w:rsidRDefault="008C1AA8" w:rsidP="00615EB3">
            <w:pPr>
              <w:widowControl/>
              <w:autoSpaceDE/>
              <w:autoSpaceDN/>
              <w:adjustRightInd/>
              <w:jc w:val="center"/>
              <w:rPr>
                <w:rFonts w:cs="Arial"/>
                <w:szCs w:val="20"/>
              </w:rPr>
            </w:pPr>
          </w:p>
        </w:tc>
        <w:tc>
          <w:tcPr>
            <w:tcW w:w="3318" w:type="dxa"/>
            <w:gridSpan w:val="3"/>
            <w:tcBorders>
              <w:top w:val="nil"/>
              <w:left w:val="nil"/>
              <w:bottom w:val="single" w:sz="8" w:space="0" w:color="auto"/>
              <w:right w:val="nil"/>
            </w:tcBorders>
            <w:shd w:val="clear" w:color="auto" w:fill="auto"/>
            <w:noWrap/>
            <w:vAlign w:val="center"/>
            <w:hideMark/>
          </w:tcPr>
          <w:p w14:paraId="722D404D" w14:textId="77777777" w:rsidR="008C1AA8" w:rsidRPr="003B37F4" w:rsidRDefault="008C1AA8" w:rsidP="00615EB3">
            <w:pPr>
              <w:widowControl/>
              <w:autoSpaceDE/>
              <w:autoSpaceDN/>
              <w:adjustRightInd/>
              <w:jc w:val="center"/>
              <w:rPr>
                <w:rFonts w:cs="Arial"/>
                <w:b/>
                <w:bCs/>
                <w:szCs w:val="20"/>
              </w:rPr>
            </w:pPr>
            <w:r w:rsidRPr="003B37F4">
              <w:rPr>
                <w:rFonts w:cs="Arial"/>
                <w:b/>
                <w:bCs/>
                <w:szCs w:val="20"/>
              </w:rPr>
              <w:t>Activities</w:t>
            </w:r>
          </w:p>
        </w:tc>
      </w:tr>
      <w:tr w:rsidR="00E57572" w:rsidRPr="003B37F4" w14:paraId="65E48E6C" w14:textId="77777777" w:rsidTr="00313653">
        <w:trPr>
          <w:gridAfter w:val="2"/>
          <w:wAfter w:w="1217" w:type="dxa"/>
          <w:trHeight w:val="270"/>
        </w:trPr>
        <w:tc>
          <w:tcPr>
            <w:tcW w:w="3251" w:type="dxa"/>
            <w:tcBorders>
              <w:top w:val="nil"/>
              <w:left w:val="nil"/>
              <w:bottom w:val="nil"/>
              <w:right w:val="nil"/>
            </w:tcBorders>
            <w:shd w:val="clear" w:color="auto" w:fill="auto"/>
            <w:noWrap/>
            <w:vAlign w:val="center"/>
            <w:hideMark/>
          </w:tcPr>
          <w:p w14:paraId="6471FB67" w14:textId="77777777" w:rsidR="00E57572" w:rsidRPr="003B37F4" w:rsidRDefault="00E57572" w:rsidP="00615EB3">
            <w:pPr>
              <w:widowControl/>
              <w:autoSpaceDE/>
              <w:autoSpaceDN/>
              <w:adjustRightInd/>
              <w:rPr>
                <w:rFonts w:cs="Arial"/>
                <w:szCs w:val="20"/>
              </w:rPr>
            </w:pPr>
          </w:p>
        </w:tc>
        <w:tc>
          <w:tcPr>
            <w:tcW w:w="222" w:type="dxa"/>
            <w:tcBorders>
              <w:top w:val="nil"/>
              <w:left w:val="nil"/>
              <w:bottom w:val="nil"/>
              <w:right w:val="nil"/>
            </w:tcBorders>
            <w:shd w:val="clear" w:color="auto" w:fill="auto"/>
            <w:noWrap/>
            <w:vAlign w:val="center"/>
            <w:hideMark/>
          </w:tcPr>
          <w:p w14:paraId="03C69AF4" w14:textId="77777777" w:rsidR="00E57572" w:rsidRPr="003B37F4" w:rsidRDefault="00E57572" w:rsidP="00615EB3">
            <w:pPr>
              <w:widowControl/>
              <w:autoSpaceDE/>
              <w:autoSpaceDN/>
              <w:adjustRightInd/>
              <w:jc w:val="center"/>
              <w:rPr>
                <w:rFonts w:cs="Arial"/>
                <w:szCs w:val="20"/>
              </w:rPr>
            </w:pPr>
          </w:p>
        </w:tc>
        <w:tc>
          <w:tcPr>
            <w:tcW w:w="1217" w:type="dxa"/>
            <w:tcBorders>
              <w:top w:val="nil"/>
              <w:left w:val="nil"/>
              <w:bottom w:val="single" w:sz="8" w:space="0" w:color="auto"/>
              <w:right w:val="nil"/>
            </w:tcBorders>
            <w:shd w:val="clear" w:color="auto" w:fill="auto"/>
            <w:noWrap/>
            <w:vAlign w:val="center"/>
            <w:hideMark/>
          </w:tcPr>
          <w:p w14:paraId="753331C5" w14:textId="5EED7F13" w:rsidR="00E57572" w:rsidRPr="003B37F4" w:rsidRDefault="00E57572" w:rsidP="00615EB3">
            <w:pPr>
              <w:widowControl/>
              <w:autoSpaceDE/>
              <w:autoSpaceDN/>
              <w:adjustRightInd/>
              <w:jc w:val="center"/>
              <w:rPr>
                <w:rFonts w:cs="Arial"/>
                <w:b/>
                <w:bCs/>
                <w:szCs w:val="20"/>
              </w:rPr>
            </w:pPr>
            <w:r w:rsidRPr="003B37F4">
              <w:rPr>
                <w:rFonts w:cs="Arial"/>
                <w:b/>
                <w:bCs/>
                <w:szCs w:val="20"/>
              </w:rPr>
              <w:t>20</w:t>
            </w:r>
            <w:r w:rsidR="00EC0E03" w:rsidRPr="003B37F4">
              <w:rPr>
                <w:rFonts w:cs="Arial"/>
                <w:b/>
                <w:bCs/>
                <w:szCs w:val="20"/>
              </w:rPr>
              <w:t>2</w:t>
            </w:r>
            <w:r w:rsidR="00D40B05" w:rsidRPr="003B37F4">
              <w:rPr>
                <w:rFonts w:cs="Arial"/>
                <w:b/>
                <w:bCs/>
                <w:szCs w:val="20"/>
              </w:rPr>
              <w:t>2</w:t>
            </w:r>
          </w:p>
        </w:tc>
        <w:tc>
          <w:tcPr>
            <w:tcW w:w="884" w:type="dxa"/>
            <w:tcBorders>
              <w:top w:val="nil"/>
              <w:left w:val="nil"/>
              <w:bottom w:val="nil"/>
              <w:right w:val="nil"/>
            </w:tcBorders>
            <w:shd w:val="clear" w:color="auto" w:fill="auto"/>
            <w:noWrap/>
            <w:vAlign w:val="center"/>
            <w:hideMark/>
          </w:tcPr>
          <w:p w14:paraId="48093612" w14:textId="77777777" w:rsidR="00E57572" w:rsidRPr="003B37F4" w:rsidRDefault="00E57572" w:rsidP="00615EB3">
            <w:pPr>
              <w:widowControl/>
              <w:autoSpaceDE/>
              <w:autoSpaceDN/>
              <w:adjustRightInd/>
              <w:jc w:val="center"/>
              <w:rPr>
                <w:rFonts w:cs="Arial"/>
                <w:b/>
                <w:bCs/>
                <w:szCs w:val="20"/>
              </w:rPr>
            </w:pPr>
          </w:p>
        </w:tc>
        <w:tc>
          <w:tcPr>
            <w:tcW w:w="1217" w:type="dxa"/>
            <w:tcBorders>
              <w:top w:val="nil"/>
              <w:left w:val="nil"/>
              <w:bottom w:val="single" w:sz="8" w:space="0" w:color="auto"/>
              <w:right w:val="nil"/>
            </w:tcBorders>
            <w:shd w:val="clear" w:color="auto" w:fill="auto"/>
            <w:noWrap/>
            <w:vAlign w:val="center"/>
            <w:hideMark/>
          </w:tcPr>
          <w:p w14:paraId="246C32C6" w14:textId="5DC06232" w:rsidR="00E57572" w:rsidRPr="003B37F4" w:rsidRDefault="00E57572" w:rsidP="00615EB3">
            <w:pPr>
              <w:widowControl/>
              <w:autoSpaceDE/>
              <w:autoSpaceDN/>
              <w:adjustRightInd/>
              <w:jc w:val="center"/>
              <w:rPr>
                <w:rFonts w:cs="Arial"/>
                <w:b/>
                <w:bCs/>
                <w:szCs w:val="20"/>
              </w:rPr>
            </w:pPr>
            <w:r w:rsidRPr="003B37F4">
              <w:rPr>
                <w:rFonts w:cs="Arial"/>
                <w:b/>
                <w:bCs/>
                <w:szCs w:val="20"/>
              </w:rPr>
              <w:t>20</w:t>
            </w:r>
            <w:r w:rsidR="00615EB3" w:rsidRPr="003B37F4">
              <w:rPr>
                <w:rFonts w:cs="Arial"/>
                <w:b/>
                <w:bCs/>
                <w:szCs w:val="20"/>
              </w:rPr>
              <w:t>2</w:t>
            </w:r>
            <w:r w:rsidR="00D40B05" w:rsidRPr="003B37F4">
              <w:rPr>
                <w:rFonts w:cs="Arial"/>
                <w:b/>
                <w:bCs/>
                <w:szCs w:val="20"/>
              </w:rPr>
              <w:t>1</w:t>
            </w:r>
          </w:p>
        </w:tc>
      </w:tr>
      <w:tr w:rsidR="00E57572" w:rsidRPr="003B37F4" w14:paraId="3685A7A4" w14:textId="77777777" w:rsidTr="00313653">
        <w:trPr>
          <w:gridAfter w:val="2"/>
          <w:wAfter w:w="1217" w:type="dxa"/>
          <w:trHeight w:val="255"/>
        </w:trPr>
        <w:tc>
          <w:tcPr>
            <w:tcW w:w="3251" w:type="dxa"/>
            <w:tcBorders>
              <w:top w:val="nil"/>
              <w:left w:val="nil"/>
              <w:bottom w:val="nil"/>
              <w:right w:val="nil"/>
            </w:tcBorders>
            <w:shd w:val="clear" w:color="auto" w:fill="auto"/>
            <w:noWrap/>
            <w:vAlign w:val="center"/>
            <w:hideMark/>
          </w:tcPr>
          <w:p w14:paraId="0C38C3CB" w14:textId="77777777" w:rsidR="00E57572" w:rsidRPr="003B37F4" w:rsidRDefault="00E57572" w:rsidP="00615EB3">
            <w:pPr>
              <w:widowControl/>
              <w:autoSpaceDE/>
              <w:autoSpaceDN/>
              <w:adjustRightInd/>
              <w:rPr>
                <w:rFonts w:cs="Arial"/>
                <w:b/>
                <w:bCs/>
                <w:szCs w:val="20"/>
              </w:rPr>
            </w:pPr>
            <w:r w:rsidRPr="003B37F4">
              <w:rPr>
                <w:rFonts w:cs="Arial"/>
                <w:b/>
                <w:bCs/>
                <w:szCs w:val="20"/>
              </w:rPr>
              <w:t>Receipts:</w:t>
            </w:r>
          </w:p>
        </w:tc>
        <w:tc>
          <w:tcPr>
            <w:tcW w:w="222" w:type="dxa"/>
            <w:tcBorders>
              <w:top w:val="nil"/>
              <w:left w:val="nil"/>
              <w:bottom w:val="nil"/>
              <w:right w:val="nil"/>
            </w:tcBorders>
            <w:shd w:val="clear" w:color="auto" w:fill="auto"/>
            <w:noWrap/>
            <w:vAlign w:val="center"/>
            <w:hideMark/>
          </w:tcPr>
          <w:p w14:paraId="78BBEE34" w14:textId="77777777" w:rsidR="00E57572" w:rsidRPr="003B37F4" w:rsidRDefault="00E57572" w:rsidP="00615EB3">
            <w:pPr>
              <w:widowControl/>
              <w:autoSpaceDE/>
              <w:autoSpaceDN/>
              <w:adjustRightInd/>
              <w:rPr>
                <w:rFonts w:cs="Arial"/>
                <w:szCs w:val="20"/>
              </w:rPr>
            </w:pPr>
          </w:p>
        </w:tc>
        <w:tc>
          <w:tcPr>
            <w:tcW w:w="1217" w:type="dxa"/>
            <w:tcBorders>
              <w:top w:val="nil"/>
              <w:left w:val="nil"/>
              <w:bottom w:val="nil"/>
              <w:right w:val="nil"/>
            </w:tcBorders>
            <w:shd w:val="clear" w:color="auto" w:fill="auto"/>
            <w:noWrap/>
            <w:vAlign w:val="center"/>
            <w:hideMark/>
          </w:tcPr>
          <w:p w14:paraId="5CAE2837" w14:textId="77777777" w:rsidR="00E57572" w:rsidRPr="003B37F4" w:rsidRDefault="00E57572" w:rsidP="00615EB3">
            <w:pPr>
              <w:widowControl/>
              <w:autoSpaceDE/>
              <w:autoSpaceDN/>
              <w:adjustRightInd/>
              <w:rPr>
                <w:rFonts w:cs="Arial"/>
                <w:szCs w:val="20"/>
              </w:rPr>
            </w:pPr>
          </w:p>
        </w:tc>
        <w:tc>
          <w:tcPr>
            <w:tcW w:w="884" w:type="dxa"/>
            <w:tcBorders>
              <w:top w:val="nil"/>
              <w:left w:val="nil"/>
              <w:bottom w:val="nil"/>
              <w:right w:val="nil"/>
            </w:tcBorders>
            <w:shd w:val="clear" w:color="auto" w:fill="auto"/>
            <w:noWrap/>
            <w:vAlign w:val="center"/>
            <w:hideMark/>
          </w:tcPr>
          <w:p w14:paraId="2049B267" w14:textId="77777777" w:rsidR="00E57572" w:rsidRPr="003B37F4" w:rsidRDefault="00E57572" w:rsidP="00615EB3">
            <w:pPr>
              <w:widowControl/>
              <w:autoSpaceDE/>
              <w:autoSpaceDN/>
              <w:adjustRightInd/>
              <w:rPr>
                <w:rFonts w:cs="Arial"/>
                <w:szCs w:val="20"/>
              </w:rPr>
            </w:pPr>
          </w:p>
        </w:tc>
        <w:tc>
          <w:tcPr>
            <w:tcW w:w="1217" w:type="dxa"/>
            <w:tcBorders>
              <w:top w:val="nil"/>
              <w:left w:val="nil"/>
              <w:bottom w:val="nil"/>
              <w:right w:val="nil"/>
            </w:tcBorders>
            <w:shd w:val="clear" w:color="auto" w:fill="auto"/>
            <w:noWrap/>
            <w:vAlign w:val="center"/>
            <w:hideMark/>
          </w:tcPr>
          <w:p w14:paraId="464DECE3" w14:textId="77777777" w:rsidR="00E57572" w:rsidRPr="003B37F4" w:rsidRDefault="00E57572" w:rsidP="00615EB3">
            <w:pPr>
              <w:widowControl/>
              <w:autoSpaceDE/>
              <w:autoSpaceDN/>
              <w:adjustRightInd/>
              <w:rPr>
                <w:rFonts w:cs="Arial"/>
                <w:szCs w:val="20"/>
              </w:rPr>
            </w:pPr>
          </w:p>
        </w:tc>
      </w:tr>
      <w:tr w:rsidR="00E57572" w:rsidRPr="003B37F4" w14:paraId="7332155A" w14:textId="77777777" w:rsidTr="00313653">
        <w:trPr>
          <w:gridAfter w:val="1"/>
          <w:wAfter w:w="612" w:type="dxa"/>
          <w:trHeight w:val="255"/>
        </w:trPr>
        <w:tc>
          <w:tcPr>
            <w:tcW w:w="3473" w:type="dxa"/>
            <w:gridSpan w:val="2"/>
            <w:tcBorders>
              <w:top w:val="nil"/>
              <w:left w:val="nil"/>
              <w:bottom w:val="nil"/>
              <w:right w:val="nil"/>
            </w:tcBorders>
            <w:shd w:val="clear" w:color="auto" w:fill="auto"/>
            <w:noWrap/>
            <w:vAlign w:val="center"/>
            <w:hideMark/>
          </w:tcPr>
          <w:p w14:paraId="407D1CFD" w14:textId="77777777" w:rsidR="00E57572" w:rsidRPr="003B37F4" w:rsidRDefault="00E57572" w:rsidP="00615EB3">
            <w:pPr>
              <w:widowControl/>
              <w:autoSpaceDE/>
              <w:autoSpaceDN/>
              <w:adjustRightInd/>
              <w:rPr>
                <w:rFonts w:cs="Arial"/>
                <w:b/>
                <w:bCs/>
                <w:szCs w:val="20"/>
              </w:rPr>
            </w:pPr>
            <w:r w:rsidRPr="003B37F4">
              <w:rPr>
                <w:rFonts w:cs="Arial"/>
                <w:b/>
                <w:bCs/>
                <w:szCs w:val="20"/>
              </w:rPr>
              <w:t>Program Receipts:</w:t>
            </w:r>
          </w:p>
        </w:tc>
        <w:tc>
          <w:tcPr>
            <w:tcW w:w="1217" w:type="dxa"/>
            <w:tcBorders>
              <w:top w:val="nil"/>
              <w:left w:val="nil"/>
              <w:bottom w:val="nil"/>
              <w:right w:val="nil"/>
            </w:tcBorders>
            <w:shd w:val="clear" w:color="auto" w:fill="auto"/>
            <w:noWrap/>
            <w:vAlign w:val="center"/>
            <w:hideMark/>
          </w:tcPr>
          <w:p w14:paraId="1ACDEAA8" w14:textId="77777777" w:rsidR="00E57572" w:rsidRPr="003B37F4" w:rsidRDefault="00E57572" w:rsidP="00615EB3">
            <w:pPr>
              <w:widowControl/>
              <w:autoSpaceDE/>
              <w:autoSpaceDN/>
              <w:adjustRightInd/>
              <w:rPr>
                <w:rFonts w:cs="Arial"/>
                <w:szCs w:val="20"/>
              </w:rPr>
            </w:pPr>
          </w:p>
        </w:tc>
        <w:tc>
          <w:tcPr>
            <w:tcW w:w="884" w:type="dxa"/>
            <w:tcBorders>
              <w:top w:val="nil"/>
              <w:left w:val="nil"/>
              <w:bottom w:val="nil"/>
              <w:right w:val="nil"/>
            </w:tcBorders>
            <w:shd w:val="clear" w:color="auto" w:fill="auto"/>
            <w:noWrap/>
            <w:vAlign w:val="center"/>
            <w:hideMark/>
          </w:tcPr>
          <w:p w14:paraId="68AFF337" w14:textId="77777777" w:rsidR="00E57572" w:rsidRPr="003B37F4" w:rsidRDefault="00E57572" w:rsidP="00615EB3">
            <w:pPr>
              <w:widowControl/>
              <w:autoSpaceDE/>
              <w:autoSpaceDN/>
              <w:adjustRightInd/>
              <w:rPr>
                <w:rFonts w:cs="Arial"/>
                <w:szCs w:val="20"/>
              </w:rPr>
            </w:pPr>
          </w:p>
        </w:tc>
        <w:tc>
          <w:tcPr>
            <w:tcW w:w="1217" w:type="dxa"/>
            <w:tcBorders>
              <w:top w:val="nil"/>
              <w:left w:val="nil"/>
              <w:bottom w:val="nil"/>
              <w:right w:val="nil"/>
            </w:tcBorders>
            <w:shd w:val="clear" w:color="auto" w:fill="auto"/>
            <w:noWrap/>
            <w:vAlign w:val="center"/>
            <w:hideMark/>
          </w:tcPr>
          <w:p w14:paraId="41126A0F" w14:textId="77777777" w:rsidR="00E57572" w:rsidRPr="003B37F4" w:rsidRDefault="00E57572" w:rsidP="00615EB3">
            <w:pPr>
              <w:widowControl/>
              <w:autoSpaceDE/>
              <w:autoSpaceDN/>
              <w:adjustRightInd/>
              <w:rPr>
                <w:rFonts w:cs="Arial"/>
                <w:szCs w:val="20"/>
              </w:rPr>
            </w:pPr>
          </w:p>
        </w:tc>
        <w:tc>
          <w:tcPr>
            <w:tcW w:w="605" w:type="dxa"/>
            <w:tcBorders>
              <w:top w:val="nil"/>
              <w:left w:val="nil"/>
              <w:bottom w:val="nil"/>
              <w:right w:val="nil"/>
            </w:tcBorders>
            <w:shd w:val="clear" w:color="auto" w:fill="auto"/>
            <w:vAlign w:val="center"/>
          </w:tcPr>
          <w:p w14:paraId="7A7B9C8F" w14:textId="77777777" w:rsidR="00E57572" w:rsidRPr="003B37F4" w:rsidRDefault="00E57572" w:rsidP="00615EB3">
            <w:pPr>
              <w:widowControl/>
              <w:autoSpaceDE/>
              <w:autoSpaceDN/>
              <w:adjustRightInd/>
              <w:rPr>
                <w:rFonts w:cs="Arial"/>
                <w:szCs w:val="20"/>
              </w:rPr>
            </w:pPr>
          </w:p>
        </w:tc>
      </w:tr>
      <w:tr w:rsidR="00D40B05" w:rsidRPr="003B37F4" w14:paraId="6BD6FC69" w14:textId="77777777" w:rsidTr="00313653">
        <w:trPr>
          <w:gridAfter w:val="2"/>
          <w:wAfter w:w="1217" w:type="dxa"/>
          <w:trHeight w:val="255"/>
        </w:trPr>
        <w:tc>
          <w:tcPr>
            <w:tcW w:w="3473" w:type="dxa"/>
            <w:gridSpan w:val="2"/>
            <w:tcBorders>
              <w:top w:val="nil"/>
              <w:left w:val="nil"/>
              <w:bottom w:val="nil"/>
              <w:right w:val="nil"/>
            </w:tcBorders>
            <w:shd w:val="clear" w:color="auto" w:fill="auto"/>
            <w:noWrap/>
            <w:vAlign w:val="center"/>
            <w:hideMark/>
          </w:tcPr>
          <w:p w14:paraId="636A2431" w14:textId="77777777" w:rsidR="00D40B05" w:rsidRPr="003B37F4" w:rsidRDefault="00D40B05" w:rsidP="00D40B05">
            <w:pPr>
              <w:widowControl/>
              <w:autoSpaceDE/>
              <w:autoSpaceDN/>
              <w:adjustRightInd/>
              <w:rPr>
                <w:rFonts w:cs="Arial"/>
                <w:szCs w:val="20"/>
              </w:rPr>
            </w:pPr>
            <w:r w:rsidRPr="003B37F4">
              <w:rPr>
                <w:rFonts w:cs="Arial"/>
                <w:szCs w:val="20"/>
              </w:rPr>
              <w:t xml:space="preserve">  Charges for Services and Sales</w:t>
            </w:r>
          </w:p>
        </w:tc>
        <w:tc>
          <w:tcPr>
            <w:tcW w:w="1217" w:type="dxa"/>
            <w:tcBorders>
              <w:top w:val="nil"/>
              <w:left w:val="nil"/>
              <w:bottom w:val="nil"/>
              <w:right w:val="nil"/>
            </w:tcBorders>
            <w:shd w:val="clear" w:color="auto" w:fill="auto"/>
            <w:noWrap/>
            <w:vAlign w:val="center"/>
            <w:hideMark/>
          </w:tcPr>
          <w:p w14:paraId="79FB476F" w14:textId="737423C7" w:rsidR="00D40B05" w:rsidRPr="003B37F4" w:rsidRDefault="00915A1A" w:rsidP="00D40B05">
            <w:pPr>
              <w:widowControl/>
              <w:autoSpaceDE/>
              <w:autoSpaceDN/>
              <w:adjustRightInd/>
              <w:jc w:val="right"/>
              <w:rPr>
                <w:rFonts w:cs="Arial"/>
                <w:szCs w:val="20"/>
              </w:rPr>
            </w:pPr>
            <w:r w:rsidRPr="003B37F4">
              <w:rPr>
                <w:rFonts w:cs="Arial"/>
                <w:szCs w:val="20"/>
              </w:rPr>
              <w:t>537460</w:t>
            </w:r>
          </w:p>
        </w:tc>
        <w:tc>
          <w:tcPr>
            <w:tcW w:w="884" w:type="dxa"/>
            <w:tcBorders>
              <w:top w:val="nil"/>
              <w:left w:val="nil"/>
              <w:bottom w:val="nil"/>
              <w:right w:val="nil"/>
            </w:tcBorders>
            <w:shd w:val="clear" w:color="auto" w:fill="auto"/>
            <w:noWrap/>
            <w:vAlign w:val="center"/>
            <w:hideMark/>
          </w:tcPr>
          <w:p w14:paraId="37F07326" w14:textId="77777777" w:rsidR="00D40B05" w:rsidRPr="003B37F4" w:rsidRDefault="00D40B05" w:rsidP="00D40B05">
            <w:pPr>
              <w:widowControl/>
              <w:autoSpaceDE/>
              <w:autoSpaceDN/>
              <w:adjustRightInd/>
              <w:rPr>
                <w:rFonts w:cs="Arial"/>
                <w:szCs w:val="20"/>
              </w:rPr>
            </w:pPr>
          </w:p>
        </w:tc>
        <w:tc>
          <w:tcPr>
            <w:tcW w:w="1217" w:type="dxa"/>
            <w:tcBorders>
              <w:top w:val="nil"/>
              <w:left w:val="nil"/>
              <w:bottom w:val="nil"/>
              <w:right w:val="nil"/>
            </w:tcBorders>
            <w:shd w:val="clear" w:color="auto" w:fill="auto"/>
            <w:vAlign w:val="center"/>
          </w:tcPr>
          <w:p w14:paraId="1E7E3C2B" w14:textId="25D5A7D8" w:rsidR="00D40B05" w:rsidRPr="003B37F4" w:rsidRDefault="00D40B05" w:rsidP="00D40B05">
            <w:pPr>
              <w:widowControl/>
              <w:autoSpaceDE/>
              <w:autoSpaceDN/>
              <w:adjustRightInd/>
              <w:jc w:val="right"/>
              <w:rPr>
                <w:rFonts w:cs="Arial"/>
                <w:szCs w:val="20"/>
              </w:rPr>
            </w:pPr>
            <w:r w:rsidRPr="003B37F4">
              <w:rPr>
                <w:rFonts w:cs="Arial"/>
                <w:szCs w:val="20"/>
              </w:rPr>
              <w:t>422282</w:t>
            </w:r>
          </w:p>
        </w:tc>
      </w:tr>
      <w:tr w:rsidR="00D40B05" w:rsidRPr="003B37F4" w14:paraId="7C034C39" w14:textId="77777777" w:rsidTr="00313653">
        <w:trPr>
          <w:gridAfter w:val="2"/>
          <w:wAfter w:w="1217" w:type="dxa"/>
          <w:trHeight w:val="255"/>
        </w:trPr>
        <w:tc>
          <w:tcPr>
            <w:tcW w:w="3473" w:type="dxa"/>
            <w:gridSpan w:val="2"/>
            <w:tcBorders>
              <w:top w:val="nil"/>
              <w:left w:val="nil"/>
              <w:bottom w:val="nil"/>
              <w:right w:val="nil"/>
            </w:tcBorders>
            <w:shd w:val="clear" w:color="auto" w:fill="auto"/>
            <w:noWrap/>
            <w:vAlign w:val="center"/>
            <w:hideMark/>
          </w:tcPr>
          <w:p w14:paraId="319E2A3A" w14:textId="77777777" w:rsidR="00D40B05" w:rsidRPr="003B37F4" w:rsidRDefault="00D40B05" w:rsidP="00D40B05">
            <w:pPr>
              <w:widowControl/>
              <w:autoSpaceDE/>
              <w:autoSpaceDN/>
              <w:adjustRightInd/>
              <w:rPr>
                <w:rFonts w:cs="Arial"/>
                <w:szCs w:val="20"/>
              </w:rPr>
            </w:pPr>
            <w:r w:rsidRPr="003B37F4">
              <w:rPr>
                <w:rFonts w:cs="Arial"/>
                <w:szCs w:val="20"/>
              </w:rPr>
              <w:t xml:space="preserve">  Contract services</w:t>
            </w:r>
          </w:p>
        </w:tc>
        <w:tc>
          <w:tcPr>
            <w:tcW w:w="1217" w:type="dxa"/>
            <w:tcBorders>
              <w:top w:val="nil"/>
              <w:left w:val="nil"/>
              <w:bottom w:val="nil"/>
              <w:right w:val="nil"/>
            </w:tcBorders>
            <w:shd w:val="clear" w:color="auto" w:fill="auto"/>
            <w:noWrap/>
            <w:vAlign w:val="center"/>
            <w:hideMark/>
          </w:tcPr>
          <w:p w14:paraId="1BC6C412" w14:textId="77777777" w:rsidR="00D40B05" w:rsidRPr="003B37F4" w:rsidRDefault="00D40B05" w:rsidP="00D40B05">
            <w:pPr>
              <w:widowControl/>
              <w:autoSpaceDE/>
              <w:autoSpaceDN/>
              <w:adjustRightInd/>
              <w:jc w:val="right"/>
              <w:rPr>
                <w:rFonts w:cs="Arial"/>
                <w:szCs w:val="20"/>
              </w:rPr>
            </w:pPr>
            <w:r w:rsidRPr="003B37F4">
              <w:rPr>
                <w:rFonts w:cs="Arial"/>
                <w:szCs w:val="20"/>
              </w:rPr>
              <w:t>0</w:t>
            </w:r>
          </w:p>
        </w:tc>
        <w:tc>
          <w:tcPr>
            <w:tcW w:w="884" w:type="dxa"/>
            <w:tcBorders>
              <w:top w:val="nil"/>
              <w:left w:val="nil"/>
              <w:bottom w:val="nil"/>
              <w:right w:val="nil"/>
            </w:tcBorders>
            <w:shd w:val="clear" w:color="auto" w:fill="auto"/>
            <w:noWrap/>
            <w:vAlign w:val="center"/>
            <w:hideMark/>
          </w:tcPr>
          <w:p w14:paraId="335CA794" w14:textId="77777777" w:rsidR="00D40B05" w:rsidRPr="003B37F4" w:rsidRDefault="00D40B05" w:rsidP="00D40B05">
            <w:pPr>
              <w:widowControl/>
              <w:autoSpaceDE/>
              <w:autoSpaceDN/>
              <w:adjustRightInd/>
              <w:rPr>
                <w:rFonts w:cs="Arial"/>
                <w:szCs w:val="20"/>
              </w:rPr>
            </w:pPr>
          </w:p>
        </w:tc>
        <w:tc>
          <w:tcPr>
            <w:tcW w:w="1217" w:type="dxa"/>
            <w:tcBorders>
              <w:top w:val="nil"/>
              <w:left w:val="nil"/>
              <w:bottom w:val="nil"/>
              <w:right w:val="nil"/>
            </w:tcBorders>
            <w:shd w:val="clear" w:color="auto" w:fill="auto"/>
            <w:vAlign w:val="center"/>
          </w:tcPr>
          <w:p w14:paraId="0495A5B9" w14:textId="39E42AC1" w:rsidR="00D40B05" w:rsidRPr="003B37F4" w:rsidRDefault="00D40B05" w:rsidP="00D40B05">
            <w:pPr>
              <w:widowControl/>
              <w:autoSpaceDE/>
              <w:autoSpaceDN/>
              <w:adjustRightInd/>
              <w:jc w:val="right"/>
              <w:rPr>
                <w:rFonts w:cs="Arial"/>
                <w:szCs w:val="20"/>
              </w:rPr>
            </w:pPr>
            <w:r w:rsidRPr="003B37F4">
              <w:rPr>
                <w:rFonts w:cs="Arial"/>
                <w:szCs w:val="20"/>
              </w:rPr>
              <w:t>0</w:t>
            </w:r>
          </w:p>
        </w:tc>
      </w:tr>
      <w:tr w:rsidR="00D40B05" w:rsidRPr="003B37F4" w14:paraId="5F719F04" w14:textId="77777777" w:rsidTr="00313653">
        <w:trPr>
          <w:gridAfter w:val="2"/>
          <w:wAfter w:w="1217" w:type="dxa"/>
          <w:trHeight w:val="270"/>
        </w:trPr>
        <w:tc>
          <w:tcPr>
            <w:tcW w:w="3473" w:type="dxa"/>
            <w:gridSpan w:val="2"/>
            <w:tcBorders>
              <w:top w:val="nil"/>
              <w:left w:val="nil"/>
              <w:bottom w:val="nil"/>
              <w:right w:val="nil"/>
            </w:tcBorders>
            <w:shd w:val="clear" w:color="auto" w:fill="auto"/>
            <w:noWrap/>
            <w:vAlign w:val="center"/>
            <w:hideMark/>
          </w:tcPr>
          <w:p w14:paraId="25901262" w14:textId="77777777" w:rsidR="00D40B05" w:rsidRPr="003B37F4" w:rsidRDefault="00D40B05" w:rsidP="00D40B05">
            <w:pPr>
              <w:widowControl/>
              <w:autoSpaceDE/>
              <w:autoSpaceDN/>
              <w:adjustRightInd/>
              <w:rPr>
                <w:rFonts w:cs="Arial"/>
                <w:szCs w:val="20"/>
              </w:rPr>
            </w:pPr>
            <w:r w:rsidRPr="003B37F4">
              <w:rPr>
                <w:rFonts w:cs="Arial"/>
                <w:szCs w:val="20"/>
              </w:rPr>
              <w:t xml:space="preserve">  Operating Grants and Contributions</w:t>
            </w:r>
          </w:p>
        </w:tc>
        <w:tc>
          <w:tcPr>
            <w:tcW w:w="1217" w:type="dxa"/>
            <w:tcBorders>
              <w:top w:val="nil"/>
              <w:left w:val="nil"/>
              <w:bottom w:val="single" w:sz="8" w:space="0" w:color="auto"/>
              <w:right w:val="nil"/>
            </w:tcBorders>
            <w:shd w:val="clear" w:color="auto" w:fill="auto"/>
            <w:noWrap/>
            <w:vAlign w:val="center"/>
            <w:hideMark/>
          </w:tcPr>
          <w:p w14:paraId="231DEDD4" w14:textId="094F3D39" w:rsidR="00D40B05" w:rsidRPr="003B37F4" w:rsidRDefault="00915A1A" w:rsidP="00D40B05">
            <w:pPr>
              <w:widowControl/>
              <w:autoSpaceDE/>
              <w:autoSpaceDN/>
              <w:adjustRightInd/>
              <w:jc w:val="right"/>
              <w:rPr>
                <w:rFonts w:cs="Arial"/>
                <w:szCs w:val="20"/>
              </w:rPr>
            </w:pPr>
            <w:r w:rsidRPr="003B37F4">
              <w:rPr>
                <w:rFonts w:cs="Arial"/>
                <w:szCs w:val="20"/>
              </w:rPr>
              <w:t>531094</w:t>
            </w:r>
          </w:p>
        </w:tc>
        <w:tc>
          <w:tcPr>
            <w:tcW w:w="884" w:type="dxa"/>
            <w:tcBorders>
              <w:top w:val="nil"/>
              <w:left w:val="nil"/>
              <w:bottom w:val="nil"/>
              <w:right w:val="nil"/>
            </w:tcBorders>
            <w:shd w:val="clear" w:color="auto" w:fill="auto"/>
            <w:noWrap/>
            <w:vAlign w:val="center"/>
            <w:hideMark/>
          </w:tcPr>
          <w:p w14:paraId="4E39A8A5" w14:textId="77777777" w:rsidR="00D40B05" w:rsidRPr="003B37F4" w:rsidRDefault="00D40B05" w:rsidP="00D40B05">
            <w:pPr>
              <w:widowControl/>
              <w:autoSpaceDE/>
              <w:autoSpaceDN/>
              <w:adjustRightInd/>
              <w:rPr>
                <w:rFonts w:cs="Arial"/>
                <w:szCs w:val="20"/>
              </w:rPr>
            </w:pPr>
          </w:p>
        </w:tc>
        <w:tc>
          <w:tcPr>
            <w:tcW w:w="1217" w:type="dxa"/>
            <w:tcBorders>
              <w:top w:val="nil"/>
              <w:left w:val="nil"/>
              <w:bottom w:val="single" w:sz="8" w:space="0" w:color="auto"/>
              <w:right w:val="nil"/>
            </w:tcBorders>
            <w:shd w:val="clear" w:color="auto" w:fill="auto"/>
            <w:vAlign w:val="center"/>
          </w:tcPr>
          <w:p w14:paraId="1507987D" w14:textId="668CD24C" w:rsidR="00D40B05" w:rsidRPr="003B37F4" w:rsidRDefault="00D40B05" w:rsidP="00D40B05">
            <w:pPr>
              <w:widowControl/>
              <w:autoSpaceDE/>
              <w:autoSpaceDN/>
              <w:adjustRightInd/>
              <w:jc w:val="right"/>
              <w:rPr>
                <w:rFonts w:cs="Arial"/>
                <w:szCs w:val="20"/>
              </w:rPr>
            </w:pPr>
            <w:r w:rsidRPr="003B37F4">
              <w:rPr>
                <w:rFonts w:cs="Arial"/>
                <w:szCs w:val="20"/>
              </w:rPr>
              <w:t>520683</w:t>
            </w:r>
          </w:p>
        </w:tc>
      </w:tr>
      <w:tr w:rsidR="00D40B05" w:rsidRPr="003B37F4" w14:paraId="0F7AB7FC" w14:textId="77777777" w:rsidTr="00313653">
        <w:trPr>
          <w:gridAfter w:val="2"/>
          <w:wAfter w:w="1217" w:type="dxa"/>
          <w:trHeight w:val="255"/>
        </w:trPr>
        <w:tc>
          <w:tcPr>
            <w:tcW w:w="3473" w:type="dxa"/>
            <w:gridSpan w:val="2"/>
            <w:tcBorders>
              <w:top w:val="nil"/>
              <w:left w:val="nil"/>
              <w:bottom w:val="nil"/>
              <w:right w:val="nil"/>
            </w:tcBorders>
            <w:shd w:val="clear" w:color="auto" w:fill="auto"/>
            <w:noWrap/>
            <w:vAlign w:val="center"/>
            <w:hideMark/>
          </w:tcPr>
          <w:p w14:paraId="24EE51B8" w14:textId="77777777" w:rsidR="00D40B05" w:rsidRPr="003B37F4" w:rsidRDefault="00D40B05" w:rsidP="00D40B05">
            <w:pPr>
              <w:widowControl/>
              <w:autoSpaceDE/>
              <w:autoSpaceDN/>
              <w:adjustRightInd/>
              <w:rPr>
                <w:rFonts w:cs="Arial"/>
                <w:szCs w:val="20"/>
              </w:rPr>
            </w:pPr>
            <w:r w:rsidRPr="003B37F4">
              <w:rPr>
                <w:rFonts w:cs="Arial"/>
                <w:szCs w:val="20"/>
              </w:rPr>
              <w:t>Total Program Receipts</w:t>
            </w:r>
          </w:p>
        </w:tc>
        <w:tc>
          <w:tcPr>
            <w:tcW w:w="1217" w:type="dxa"/>
            <w:tcBorders>
              <w:top w:val="nil"/>
              <w:left w:val="nil"/>
              <w:bottom w:val="nil"/>
              <w:right w:val="nil"/>
            </w:tcBorders>
            <w:shd w:val="clear" w:color="auto" w:fill="auto"/>
            <w:noWrap/>
            <w:vAlign w:val="center"/>
            <w:hideMark/>
          </w:tcPr>
          <w:p w14:paraId="65C1BD95" w14:textId="2D5BDFA2" w:rsidR="00D40B05" w:rsidRPr="003B37F4" w:rsidRDefault="00915A1A" w:rsidP="00D40B05">
            <w:pPr>
              <w:widowControl/>
              <w:autoSpaceDE/>
              <w:autoSpaceDN/>
              <w:adjustRightInd/>
              <w:jc w:val="right"/>
              <w:rPr>
                <w:rFonts w:cs="Arial"/>
                <w:szCs w:val="20"/>
              </w:rPr>
            </w:pPr>
            <w:r w:rsidRPr="00EB4851">
              <w:rPr>
                <w:rFonts w:cs="Arial"/>
                <w:szCs w:val="20"/>
                <w:highlight w:val="yellow"/>
              </w:rPr>
              <w:t>1068554</w:t>
            </w:r>
          </w:p>
        </w:tc>
        <w:tc>
          <w:tcPr>
            <w:tcW w:w="884" w:type="dxa"/>
            <w:tcBorders>
              <w:top w:val="nil"/>
              <w:left w:val="nil"/>
              <w:bottom w:val="nil"/>
              <w:right w:val="nil"/>
            </w:tcBorders>
            <w:shd w:val="clear" w:color="auto" w:fill="auto"/>
            <w:noWrap/>
            <w:vAlign w:val="center"/>
            <w:hideMark/>
          </w:tcPr>
          <w:p w14:paraId="5492F0BE" w14:textId="77777777" w:rsidR="00D40B05" w:rsidRPr="003B37F4" w:rsidRDefault="00D40B05" w:rsidP="00D40B05">
            <w:pPr>
              <w:widowControl/>
              <w:autoSpaceDE/>
              <w:autoSpaceDN/>
              <w:adjustRightInd/>
              <w:rPr>
                <w:rFonts w:cs="Arial"/>
                <w:szCs w:val="20"/>
              </w:rPr>
            </w:pPr>
          </w:p>
        </w:tc>
        <w:tc>
          <w:tcPr>
            <w:tcW w:w="1217" w:type="dxa"/>
            <w:tcBorders>
              <w:top w:val="nil"/>
              <w:left w:val="nil"/>
              <w:bottom w:val="nil"/>
              <w:right w:val="nil"/>
            </w:tcBorders>
            <w:shd w:val="clear" w:color="auto" w:fill="auto"/>
            <w:vAlign w:val="center"/>
          </w:tcPr>
          <w:p w14:paraId="242A8D48" w14:textId="39AB74D7" w:rsidR="00D40B05" w:rsidRPr="003B37F4" w:rsidRDefault="00D40B05" w:rsidP="00D40B05">
            <w:pPr>
              <w:widowControl/>
              <w:autoSpaceDE/>
              <w:autoSpaceDN/>
              <w:adjustRightInd/>
              <w:jc w:val="right"/>
              <w:rPr>
                <w:rFonts w:cs="Arial"/>
                <w:szCs w:val="20"/>
              </w:rPr>
            </w:pPr>
            <w:r w:rsidRPr="003B37F4">
              <w:rPr>
                <w:rFonts w:cs="Arial"/>
                <w:szCs w:val="20"/>
              </w:rPr>
              <w:t>942965</w:t>
            </w:r>
          </w:p>
        </w:tc>
      </w:tr>
      <w:tr w:rsidR="00D40B05" w:rsidRPr="003B37F4" w14:paraId="19A91F31" w14:textId="77777777" w:rsidTr="00313653">
        <w:trPr>
          <w:gridAfter w:val="3"/>
          <w:wAfter w:w="2434" w:type="dxa"/>
          <w:trHeight w:val="255"/>
        </w:trPr>
        <w:tc>
          <w:tcPr>
            <w:tcW w:w="3251" w:type="dxa"/>
            <w:tcBorders>
              <w:top w:val="nil"/>
              <w:left w:val="nil"/>
              <w:bottom w:val="nil"/>
              <w:right w:val="nil"/>
            </w:tcBorders>
            <w:shd w:val="clear" w:color="auto" w:fill="auto"/>
            <w:noWrap/>
            <w:vAlign w:val="center"/>
            <w:hideMark/>
          </w:tcPr>
          <w:p w14:paraId="71F0F431" w14:textId="77777777" w:rsidR="00D40B05" w:rsidRPr="003B37F4" w:rsidRDefault="00D40B05" w:rsidP="00D40B05">
            <w:pPr>
              <w:widowControl/>
              <w:autoSpaceDE/>
              <w:autoSpaceDN/>
              <w:adjustRightInd/>
              <w:rPr>
                <w:rFonts w:cs="Arial"/>
                <w:szCs w:val="20"/>
              </w:rPr>
            </w:pPr>
          </w:p>
        </w:tc>
        <w:tc>
          <w:tcPr>
            <w:tcW w:w="222" w:type="dxa"/>
            <w:tcBorders>
              <w:top w:val="nil"/>
              <w:left w:val="nil"/>
              <w:bottom w:val="nil"/>
              <w:right w:val="nil"/>
            </w:tcBorders>
            <w:shd w:val="clear" w:color="auto" w:fill="auto"/>
            <w:noWrap/>
            <w:vAlign w:val="center"/>
            <w:hideMark/>
          </w:tcPr>
          <w:p w14:paraId="43D4FE1A" w14:textId="77777777" w:rsidR="00D40B05" w:rsidRPr="003B37F4" w:rsidRDefault="00D40B05" w:rsidP="00D40B05">
            <w:pPr>
              <w:widowControl/>
              <w:autoSpaceDE/>
              <w:autoSpaceDN/>
              <w:adjustRightInd/>
              <w:rPr>
                <w:rFonts w:cs="Arial"/>
                <w:szCs w:val="20"/>
              </w:rPr>
            </w:pPr>
          </w:p>
        </w:tc>
        <w:tc>
          <w:tcPr>
            <w:tcW w:w="1217" w:type="dxa"/>
            <w:tcBorders>
              <w:top w:val="nil"/>
              <w:left w:val="nil"/>
              <w:bottom w:val="nil"/>
              <w:right w:val="nil"/>
            </w:tcBorders>
            <w:shd w:val="clear" w:color="auto" w:fill="auto"/>
            <w:noWrap/>
            <w:vAlign w:val="center"/>
            <w:hideMark/>
          </w:tcPr>
          <w:p w14:paraId="5D25007D" w14:textId="77777777" w:rsidR="00D40B05" w:rsidRPr="003B37F4" w:rsidRDefault="00D40B05" w:rsidP="00D40B05">
            <w:pPr>
              <w:widowControl/>
              <w:autoSpaceDE/>
              <w:autoSpaceDN/>
              <w:adjustRightInd/>
              <w:rPr>
                <w:rFonts w:cs="Arial"/>
                <w:szCs w:val="20"/>
              </w:rPr>
            </w:pPr>
          </w:p>
        </w:tc>
        <w:tc>
          <w:tcPr>
            <w:tcW w:w="884" w:type="dxa"/>
            <w:tcBorders>
              <w:top w:val="nil"/>
              <w:left w:val="nil"/>
              <w:bottom w:val="nil"/>
              <w:right w:val="nil"/>
            </w:tcBorders>
            <w:shd w:val="clear" w:color="auto" w:fill="auto"/>
            <w:noWrap/>
            <w:vAlign w:val="center"/>
            <w:hideMark/>
          </w:tcPr>
          <w:p w14:paraId="6F909B77" w14:textId="77777777" w:rsidR="00D40B05" w:rsidRPr="003B37F4" w:rsidRDefault="00D40B05" w:rsidP="00D40B05">
            <w:pPr>
              <w:widowControl/>
              <w:autoSpaceDE/>
              <w:autoSpaceDN/>
              <w:adjustRightInd/>
              <w:rPr>
                <w:rFonts w:cs="Arial"/>
                <w:szCs w:val="20"/>
              </w:rPr>
            </w:pPr>
          </w:p>
        </w:tc>
      </w:tr>
      <w:tr w:rsidR="00D40B05" w:rsidRPr="003B37F4" w14:paraId="02D0BFB0" w14:textId="77777777" w:rsidTr="00313653">
        <w:trPr>
          <w:gridAfter w:val="2"/>
          <w:wAfter w:w="1217" w:type="dxa"/>
          <w:trHeight w:val="255"/>
        </w:trPr>
        <w:tc>
          <w:tcPr>
            <w:tcW w:w="3473" w:type="dxa"/>
            <w:gridSpan w:val="2"/>
            <w:tcBorders>
              <w:top w:val="nil"/>
              <w:left w:val="nil"/>
              <w:bottom w:val="nil"/>
              <w:right w:val="nil"/>
            </w:tcBorders>
            <w:shd w:val="clear" w:color="auto" w:fill="auto"/>
            <w:noWrap/>
            <w:vAlign w:val="center"/>
            <w:hideMark/>
          </w:tcPr>
          <w:p w14:paraId="081E5121" w14:textId="77777777" w:rsidR="00D40B05" w:rsidRPr="003B37F4" w:rsidRDefault="00D40B05" w:rsidP="00D40B05">
            <w:pPr>
              <w:widowControl/>
              <w:autoSpaceDE/>
              <w:autoSpaceDN/>
              <w:adjustRightInd/>
              <w:rPr>
                <w:rFonts w:cs="Arial"/>
                <w:b/>
                <w:bCs/>
                <w:szCs w:val="20"/>
              </w:rPr>
            </w:pPr>
            <w:r w:rsidRPr="003B37F4">
              <w:rPr>
                <w:rFonts w:cs="Arial"/>
                <w:b/>
                <w:bCs/>
                <w:szCs w:val="20"/>
              </w:rPr>
              <w:t>General Receipts:</w:t>
            </w:r>
          </w:p>
        </w:tc>
        <w:tc>
          <w:tcPr>
            <w:tcW w:w="1217" w:type="dxa"/>
            <w:tcBorders>
              <w:top w:val="nil"/>
              <w:left w:val="nil"/>
              <w:bottom w:val="nil"/>
              <w:right w:val="nil"/>
            </w:tcBorders>
            <w:shd w:val="clear" w:color="auto" w:fill="auto"/>
            <w:noWrap/>
            <w:vAlign w:val="center"/>
            <w:hideMark/>
          </w:tcPr>
          <w:p w14:paraId="0E1B068E" w14:textId="77777777" w:rsidR="00D40B05" w:rsidRPr="003B37F4" w:rsidRDefault="00D40B05" w:rsidP="00D40B05">
            <w:pPr>
              <w:widowControl/>
              <w:autoSpaceDE/>
              <w:autoSpaceDN/>
              <w:adjustRightInd/>
              <w:rPr>
                <w:rFonts w:cs="Arial"/>
                <w:szCs w:val="20"/>
              </w:rPr>
            </w:pPr>
          </w:p>
        </w:tc>
        <w:tc>
          <w:tcPr>
            <w:tcW w:w="884" w:type="dxa"/>
            <w:tcBorders>
              <w:top w:val="nil"/>
              <w:left w:val="nil"/>
              <w:bottom w:val="nil"/>
              <w:right w:val="nil"/>
            </w:tcBorders>
            <w:shd w:val="clear" w:color="auto" w:fill="auto"/>
            <w:noWrap/>
            <w:vAlign w:val="center"/>
            <w:hideMark/>
          </w:tcPr>
          <w:p w14:paraId="3DD72577" w14:textId="77777777" w:rsidR="00D40B05" w:rsidRPr="003B37F4" w:rsidRDefault="00D40B05" w:rsidP="00D40B05">
            <w:pPr>
              <w:widowControl/>
              <w:autoSpaceDE/>
              <w:autoSpaceDN/>
              <w:adjustRightInd/>
              <w:rPr>
                <w:rFonts w:cs="Arial"/>
                <w:szCs w:val="20"/>
              </w:rPr>
            </w:pPr>
          </w:p>
        </w:tc>
        <w:tc>
          <w:tcPr>
            <w:tcW w:w="1217" w:type="dxa"/>
            <w:tcBorders>
              <w:top w:val="nil"/>
              <w:left w:val="nil"/>
              <w:bottom w:val="nil"/>
              <w:right w:val="nil"/>
            </w:tcBorders>
            <w:shd w:val="clear" w:color="auto" w:fill="auto"/>
            <w:vAlign w:val="center"/>
          </w:tcPr>
          <w:p w14:paraId="01C522B2" w14:textId="77777777" w:rsidR="00D40B05" w:rsidRPr="003B37F4" w:rsidRDefault="00D40B05" w:rsidP="00D40B05">
            <w:pPr>
              <w:widowControl/>
              <w:autoSpaceDE/>
              <w:autoSpaceDN/>
              <w:adjustRightInd/>
              <w:rPr>
                <w:rFonts w:cs="Arial"/>
                <w:szCs w:val="20"/>
              </w:rPr>
            </w:pPr>
          </w:p>
        </w:tc>
      </w:tr>
      <w:tr w:rsidR="00D40B05" w:rsidRPr="003B37F4" w14:paraId="4EF444CA" w14:textId="77777777" w:rsidTr="00313653">
        <w:trPr>
          <w:gridAfter w:val="2"/>
          <w:wAfter w:w="1217" w:type="dxa"/>
          <w:trHeight w:val="255"/>
        </w:trPr>
        <w:tc>
          <w:tcPr>
            <w:tcW w:w="3473" w:type="dxa"/>
            <w:gridSpan w:val="2"/>
            <w:tcBorders>
              <w:top w:val="nil"/>
              <w:left w:val="nil"/>
              <w:bottom w:val="nil"/>
              <w:right w:val="nil"/>
            </w:tcBorders>
            <w:shd w:val="clear" w:color="auto" w:fill="auto"/>
            <w:noWrap/>
            <w:vAlign w:val="center"/>
            <w:hideMark/>
          </w:tcPr>
          <w:p w14:paraId="1D567F2F" w14:textId="77777777" w:rsidR="00D40B05" w:rsidRPr="003B37F4" w:rsidRDefault="00D40B05" w:rsidP="00D40B05">
            <w:pPr>
              <w:widowControl/>
              <w:autoSpaceDE/>
              <w:autoSpaceDN/>
              <w:adjustRightInd/>
              <w:rPr>
                <w:rFonts w:cs="Arial"/>
                <w:szCs w:val="20"/>
              </w:rPr>
            </w:pPr>
            <w:r w:rsidRPr="003B37F4">
              <w:rPr>
                <w:rFonts w:cs="Arial"/>
                <w:szCs w:val="20"/>
              </w:rPr>
              <w:t xml:space="preserve">  Revenue from Subdivisions</w:t>
            </w:r>
          </w:p>
        </w:tc>
        <w:tc>
          <w:tcPr>
            <w:tcW w:w="1217" w:type="dxa"/>
            <w:tcBorders>
              <w:top w:val="nil"/>
              <w:left w:val="nil"/>
              <w:bottom w:val="nil"/>
              <w:right w:val="nil"/>
            </w:tcBorders>
            <w:shd w:val="clear" w:color="auto" w:fill="auto"/>
            <w:noWrap/>
            <w:vAlign w:val="center"/>
            <w:hideMark/>
          </w:tcPr>
          <w:p w14:paraId="1A59FA0D" w14:textId="77777777" w:rsidR="00D40B05" w:rsidRPr="003B37F4" w:rsidRDefault="00D40B05" w:rsidP="00D40B05">
            <w:pPr>
              <w:widowControl/>
              <w:autoSpaceDE/>
              <w:autoSpaceDN/>
              <w:adjustRightInd/>
              <w:jc w:val="right"/>
              <w:rPr>
                <w:rFonts w:cs="Arial"/>
                <w:szCs w:val="20"/>
              </w:rPr>
            </w:pPr>
            <w:r w:rsidRPr="003B37F4">
              <w:rPr>
                <w:rFonts w:cs="Arial"/>
                <w:szCs w:val="20"/>
              </w:rPr>
              <w:t>168,500</w:t>
            </w:r>
          </w:p>
        </w:tc>
        <w:tc>
          <w:tcPr>
            <w:tcW w:w="884" w:type="dxa"/>
            <w:tcBorders>
              <w:top w:val="nil"/>
              <w:left w:val="nil"/>
              <w:bottom w:val="nil"/>
              <w:right w:val="nil"/>
            </w:tcBorders>
            <w:shd w:val="clear" w:color="auto" w:fill="auto"/>
            <w:noWrap/>
            <w:vAlign w:val="center"/>
            <w:hideMark/>
          </w:tcPr>
          <w:p w14:paraId="08DA779A" w14:textId="77777777" w:rsidR="00D40B05" w:rsidRPr="003B37F4" w:rsidRDefault="00D40B05" w:rsidP="00D40B05">
            <w:pPr>
              <w:widowControl/>
              <w:autoSpaceDE/>
              <w:autoSpaceDN/>
              <w:adjustRightInd/>
              <w:rPr>
                <w:rFonts w:cs="Arial"/>
                <w:szCs w:val="20"/>
              </w:rPr>
            </w:pPr>
          </w:p>
        </w:tc>
        <w:tc>
          <w:tcPr>
            <w:tcW w:w="1217" w:type="dxa"/>
            <w:tcBorders>
              <w:top w:val="nil"/>
              <w:left w:val="nil"/>
              <w:bottom w:val="nil"/>
              <w:right w:val="nil"/>
            </w:tcBorders>
            <w:shd w:val="clear" w:color="auto" w:fill="auto"/>
            <w:vAlign w:val="center"/>
          </w:tcPr>
          <w:p w14:paraId="402B0F3C" w14:textId="117E0BEE" w:rsidR="00D40B05" w:rsidRPr="003B37F4" w:rsidRDefault="00D40B05" w:rsidP="00D40B05">
            <w:pPr>
              <w:widowControl/>
              <w:autoSpaceDE/>
              <w:autoSpaceDN/>
              <w:adjustRightInd/>
              <w:jc w:val="right"/>
              <w:rPr>
                <w:rFonts w:cs="Arial"/>
                <w:szCs w:val="20"/>
              </w:rPr>
            </w:pPr>
            <w:r w:rsidRPr="003B37F4">
              <w:rPr>
                <w:rFonts w:cs="Arial"/>
                <w:szCs w:val="20"/>
              </w:rPr>
              <w:t>168,500</w:t>
            </w:r>
          </w:p>
        </w:tc>
      </w:tr>
      <w:tr w:rsidR="00D40B05" w:rsidRPr="003B37F4" w14:paraId="6AFC1EF2" w14:textId="77777777" w:rsidTr="00313653">
        <w:trPr>
          <w:gridAfter w:val="2"/>
          <w:wAfter w:w="1217" w:type="dxa"/>
          <w:trHeight w:val="255"/>
        </w:trPr>
        <w:tc>
          <w:tcPr>
            <w:tcW w:w="3473" w:type="dxa"/>
            <w:gridSpan w:val="2"/>
            <w:tcBorders>
              <w:top w:val="nil"/>
              <w:left w:val="nil"/>
              <w:bottom w:val="nil"/>
              <w:right w:val="nil"/>
            </w:tcBorders>
            <w:shd w:val="clear" w:color="auto" w:fill="auto"/>
            <w:noWrap/>
            <w:vAlign w:val="center"/>
            <w:hideMark/>
          </w:tcPr>
          <w:p w14:paraId="0BFFEAFA" w14:textId="77777777" w:rsidR="00D40B05" w:rsidRPr="003B37F4" w:rsidRDefault="00D40B05" w:rsidP="00D40B05">
            <w:pPr>
              <w:widowControl/>
              <w:autoSpaceDE/>
              <w:autoSpaceDN/>
              <w:adjustRightInd/>
              <w:rPr>
                <w:rFonts w:cs="Arial"/>
                <w:szCs w:val="20"/>
              </w:rPr>
            </w:pPr>
            <w:r w:rsidRPr="003B37F4">
              <w:rPr>
                <w:rFonts w:cs="Arial"/>
                <w:szCs w:val="20"/>
              </w:rPr>
              <w:t xml:space="preserve">  State Subsidy</w:t>
            </w:r>
          </w:p>
        </w:tc>
        <w:tc>
          <w:tcPr>
            <w:tcW w:w="1217" w:type="dxa"/>
            <w:tcBorders>
              <w:top w:val="nil"/>
              <w:left w:val="nil"/>
              <w:bottom w:val="nil"/>
              <w:right w:val="nil"/>
            </w:tcBorders>
            <w:shd w:val="clear" w:color="auto" w:fill="auto"/>
            <w:noWrap/>
            <w:vAlign w:val="center"/>
            <w:hideMark/>
          </w:tcPr>
          <w:p w14:paraId="73E63A61" w14:textId="09EEEE8E" w:rsidR="00D40B05" w:rsidRPr="003B37F4" w:rsidRDefault="00915A1A" w:rsidP="00D40B05">
            <w:pPr>
              <w:widowControl/>
              <w:autoSpaceDE/>
              <w:autoSpaceDN/>
              <w:adjustRightInd/>
              <w:jc w:val="right"/>
              <w:rPr>
                <w:rFonts w:cs="Arial"/>
                <w:szCs w:val="20"/>
              </w:rPr>
            </w:pPr>
            <w:r w:rsidRPr="003B37F4">
              <w:rPr>
                <w:rFonts w:cs="Arial"/>
                <w:szCs w:val="20"/>
              </w:rPr>
              <w:t>23504</w:t>
            </w:r>
          </w:p>
        </w:tc>
        <w:tc>
          <w:tcPr>
            <w:tcW w:w="884" w:type="dxa"/>
            <w:tcBorders>
              <w:top w:val="nil"/>
              <w:left w:val="nil"/>
              <w:bottom w:val="nil"/>
              <w:right w:val="nil"/>
            </w:tcBorders>
            <w:shd w:val="clear" w:color="auto" w:fill="auto"/>
            <w:noWrap/>
            <w:vAlign w:val="center"/>
            <w:hideMark/>
          </w:tcPr>
          <w:p w14:paraId="625A98F7" w14:textId="77777777" w:rsidR="00D40B05" w:rsidRPr="003B37F4" w:rsidRDefault="00D40B05" w:rsidP="00D40B05">
            <w:pPr>
              <w:widowControl/>
              <w:autoSpaceDE/>
              <w:autoSpaceDN/>
              <w:adjustRightInd/>
              <w:rPr>
                <w:rFonts w:cs="Arial"/>
                <w:szCs w:val="20"/>
              </w:rPr>
            </w:pPr>
          </w:p>
        </w:tc>
        <w:tc>
          <w:tcPr>
            <w:tcW w:w="1217" w:type="dxa"/>
            <w:tcBorders>
              <w:top w:val="nil"/>
              <w:left w:val="nil"/>
              <w:bottom w:val="nil"/>
              <w:right w:val="nil"/>
            </w:tcBorders>
            <w:shd w:val="clear" w:color="auto" w:fill="auto"/>
            <w:vAlign w:val="center"/>
          </w:tcPr>
          <w:p w14:paraId="48AB3424" w14:textId="26FFBEE0" w:rsidR="00D40B05" w:rsidRPr="003B37F4" w:rsidRDefault="00D40B05" w:rsidP="00D40B05">
            <w:pPr>
              <w:widowControl/>
              <w:autoSpaceDE/>
              <w:autoSpaceDN/>
              <w:adjustRightInd/>
              <w:jc w:val="right"/>
              <w:rPr>
                <w:rFonts w:cs="Arial"/>
                <w:szCs w:val="20"/>
              </w:rPr>
            </w:pPr>
            <w:r w:rsidRPr="003B37F4">
              <w:rPr>
                <w:rFonts w:cs="Arial"/>
                <w:szCs w:val="20"/>
              </w:rPr>
              <w:t>15087</w:t>
            </w:r>
          </w:p>
        </w:tc>
      </w:tr>
      <w:tr w:rsidR="00D40B05" w:rsidRPr="003B37F4" w14:paraId="7F4752B9" w14:textId="77777777" w:rsidTr="00313653">
        <w:trPr>
          <w:gridAfter w:val="3"/>
          <w:wAfter w:w="2434" w:type="dxa"/>
          <w:trHeight w:val="270"/>
        </w:trPr>
        <w:tc>
          <w:tcPr>
            <w:tcW w:w="3251" w:type="dxa"/>
            <w:tcBorders>
              <w:top w:val="nil"/>
              <w:left w:val="nil"/>
              <w:bottom w:val="nil"/>
              <w:right w:val="nil"/>
            </w:tcBorders>
            <w:shd w:val="clear" w:color="auto" w:fill="auto"/>
            <w:noWrap/>
            <w:vAlign w:val="center"/>
            <w:hideMark/>
          </w:tcPr>
          <w:p w14:paraId="653C09E5" w14:textId="77777777" w:rsidR="00D40B05" w:rsidRPr="003B37F4" w:rsidRDefault="00D40B05" w:rsidP="00D40B05">
            <w:pPr>
              <w:widowControl/>
              <w:autoSpaceDE/>
              <w:autoSpaceDN/>
              <w:adjustRightInd/>
              <w:rPr>
                <w:rFonts w:cs="Arial"/>
                <w:szCs w:val="20"/>
              </w:rPr>
            </w:pPr>
            <w:r w:rsidRPr="003B37F4">
              <w:rPr>
                <w:rFonts w:cs="Arial"/>
                <w:szCs w:val="20"/>
              </w:rPr>
              <w:t xml:space="preserve">  Levy</w:t>
            </w:r>
          </w:p>
        </w:tc>
        <w:tc>
          <w:tcPr>
            <w:tcW w:w="222" w:type="dxa"/>
            <w:tcBorders>
              <w:top w:val="nil"/>
              <w:left w:val="nil"/>
              <w:bottom w:val="nil"/>
              <w:right w:val="nil"/>
            </w:tcBorders>
            <w:shd w:val="clear" w:color="auto" w:fill="auto"/>
            <w:noWrap/>
            <w:vAlign w:val="center"/>
            <w:hideMark/>
          </w:tcPr>
          <w:p w14:paraId="4B548A41" w14:textId="77777777" w:rsidR="00D40B05" w:rsidRPr="003B37F4" w:rsidRDefault="00D40B05" w:rsidP="00D40B05">
            <w:pPr>
              <w:widowControl/>
              <w:autoSpaceDE/>
              <w:autoSpaceDN/>
              <w:adjustRightInd/>
              <w:rPr>
                <w:rFonts w:cs="Arial"/>
                <w:szCs w:val="20"/>
              </w:rPr>
            </w:pPr>
          </w:p>
        </w:tc>
        <w:tc>
          <w:tcPr>
            <w:tcW w:w="1217" w:type="dxa"/>
            <w:tcBorders>
              <w:top w:val="nil"/>
              <w:left w:val="nil"/>
              <w:bottom w:val="nil"/>
              <w:right w:val="nil"/>
            </w:tcBorders>
            <w:shd w:val="clear" w:color="auto" w:fill="auto"/>
            <w:noWrap/>
            <w:vAlign w:val="center"/>
            <w:hideMark/>
          </w:tcPr>
          <w:p w14:paraId="0548C751" w14:textId="5F4C04E0" w:rsidR="00D40B05" w:rsidRPr="003B37F4" w:rsidRDefault="00915A1A" w:rsidP="00D40B05">
            <w:pPr>
              <w:widowControl/>
              <w:autoSpaceDE/>
              <w:autoSpaceDN/>
              <w:adjustRightInd/>
              <w:jc w:val="right"/>
              <w:rPr>
                <w:rFonts w:cs="Arial"/>
                <w:szCs w:val="20"/>
              </w:rPr>
            </w:pPr>
            <w:r w:rsidRPr="003B37F4">
              <w:rPr>
                <w:rFonts w:cs="Arial"/>
                <w:szCs w:val="20"/>
              </w:rPr>
              <w:t>289698</w:t>
            </w:r>
          </w:p>
        </w:tc>
        <w:tc>
          <w:tcPr>
            <w:tcW w:w="884" w:type="dxa"/>
            <w:tcBorders>
              <w:top w:val="nil"/>
              <w:left w:val="nil"/>
              <w:bottom w:val="nil"/>
              <w:right w:val="nil"/>
            </w:tcBorders>
            <w:shd w:val="clear" w:color="auto" w:fill="auto"/>
            <w:noWrap/>
            <w:vAlign w:val="center"/>
            <w:hideMark/>
          </w:tcPr>
          <w:p w14:paraId="541330E3" w14:textId="0C457AEB" w:rsidR="00D40B05" w:rsidRPr="003B37F4" w:rsidRDefault="00D40B05" w:rsidP="00D40B05">
            <w:pPr>
              <w:widowControl/>
              <w:autoSpaceDE/>
              <w:autoSpaceDN/>
              <w:adjustRightInd/>
              <w:jc w:val="right"/>
              <w:rPr>
                <w:rFonts w:cs="Arial"/>
                <w:szCs w:val="20"/>
              </w:rPr>
            </w:pPr>
            <w:r w:rsidRPr="003B37F4">
              <w:rPr>
                <w:rFonts w:cs="Arial"/>
                <w:szCs w:val="20"/>
              </w:rPr>
              <w:t>286927</w:t>
            </w:r>
          </w:p>
        </w:tc>
      </w:tr>
      <w:tr w:rsidR="00D40B05" w:rsidRPr="003B37F4" w14:paraId="3808E0CA" w14:textId="77777777" w:rsidTr="00313653">
        <w:trPr>
          <w:gridAfter w:val="3"/>
          <w:wAfter w:w="2434" w:type="dxa"/>
          <w:trHeight w:val="270"/>
        </w:trPr>
        <w:tc>
          <w:tcPr>
            <w:tcW w:w="3251" w:type="dxa"/>
            <w:tcBorders>
              <w:top w:val="nil"/>
              <w:left w:val="nil"/>
              <w:bottom w:val="nil"/>
              <w:right w:val="nil"/>
            </w:tcBorders>
            <w:shd w:val="clear" w:color="auto" w:fill="auto"/>
            <w:noWrap/>
            <w:vAlign w:val="center"/>
            <w:hideMark/>
          </w:tcPr>
          <w:p w14:paraId="6E3D7060" w14:textId="10645D4A" w:rsidR="00D40B05" w:rsidRPr="003B37F4" w:rsidRDefault="00D40B05" w:rsidP="00D40B05">
            <w:pPr>
              <w:widowControl/>
              <w:autoSpaceDE/>
              <w:autoSpaceDN/>
              <w:adjustRightInd/>
              <w:rPr>
                <w:rFonts w:cs="Arial"/>
                <w:szCs w:val="20"/>
              </w:rPr>
            </w:pPr>
            <w:r w:rsidRPr="003B37F4">
              <w:rPr>
                <w:rFonts w:cs="Arial"/>
                <w:szCs w:val="20"/>
              </w:rPr>
              <w:t xml:space="preserve">  Other</w:t>
            </w:r>
          </w:p>
        </w:tc>
        <w:tc>
          <w:tcPr>
            <w:tcW w:w="222" w:type="dxa"/>
            <w:tcBorders>
              <w:top w:val="nil"/>
              <w:left w:val="nil"/>
              <w:bottom w:val="nil"/>
              <w:right w:val="nil"/>
            </w:tcBorders>
            <w:shd w:val="clear" w:color="auto" w:fill="auto"/>
            <w:noWrap/>
            <w:vAlign w:val="center"/>
            <w:hideMark/>
          </w:tcPr>
          <w:p w14:paraId="460D05BD" w14:textId="77777777" w:rsidR="00D40B05" w:rsidRPr="003B37F4" w:rsidRDefault="00D40B05" w:rsidP="00D40B05">
            <w:pPr>
              <w:widowControl/>
              <w:autoSpaceDE/>
              <w:autoSpaceDN/>
              <w:adjustRightInd/>
              <w:rPr>
                <w:rFonts w:cs="Arial"/>
                <w:szCs w:val="20"/>
              </w:rPr>
            </w:pPr>
          </w:p>
        </w:tc>
        <w:tc>
          <w:tcPr>
            <w:tcW w:w="1217" w:type="dxa"/>
            <w:tcBorders>
              <w:top w:val="single" w:sz="8" w:space="0" w:color="auto"/>
              <w:left w:val="nil"/>
              <w:bottom w:val="single" w:sz="8" w:space="0" w:color="auto"/>
              <w:right w:val="nil"/>
            </w:tcBorders>
            <w:shd w:val="clear" w:color="auto" w:fill="auto"/>
            <w:noWrap/>
            <w:vAlign w:val="center"/>
            <w:hideMark/>
          </w:tcPr>
          <w:p w14:paraId="7CA20F07" w14:textId="77777777" w:rsidR="00D40B05" w:rsidRPr="003B37F4" w:rsidRDefault="00D40B05" w:rsidP="00D40B05">
            <w:pPr>
              <w:widowControl/>
              <w:autoSpaceDE/>
              <w:autoSpaceDN/>
              <w:adjustRightInd/>
              <w:jc w:val="right"/>
              <w:rPr>
                <w:rFonts w:cs="Arial"/>
                <w:szCs w:val="20"/>
              </w:rPr>
            </w:pPr>
            <w:r w:rsidRPr="003B37F4">
              <w:rPr>
                <w:rFonts w:cs="Arial"/>
                <w:szCs w:val="20"/>
              </w:rPr>
              <w:t> </w:t>
            </w:r>
          </w:p>
        </w:tc>
        <w:tc>
          <w:tcPr>
            <w:tcW w:w="884" w:type="dxa"/>
            <w:tcBorders>
              <w:top w:val="nil"/>
              <w:left w:val="nil"/>
              <w:bottom w:val="nil"/>
              <w:right w:val="nil"/>
            </w:tcBorders>
            <w:shd w:val="clear" w:color="auto" w:fill="auto"/>
            <w:noWrap/>
            <w:vAlign w:val="center"/>
            <w:hideMark/>
          </w:tcPr>
          <w:p w14:paraId="70278AE8" w14:textId="0CA81A3B" w:rsidR="00D40B05" w:rsidRPr="003B37F4" w:rsidRDefault="00D40B05" w:rsidP="00D40B05">
            <w:pPr>
              <w:widowControl/>
              <w:autoSpaceDE/>
              <w:autoSpaceDN/>
              <w:adjustRightInd/>
              <w:jc w:val="right"/>
              <w:rPr>
                <w:rFonts w:cs="Arial"/>
                <w:szCs w:val="20"/>
              </w:rPr>
            </w:pPr>
            <w:r w:rsidRPr="003B37F4">
              <w:rPr>
                <w:rFonts w:cs="Arial"/>
                <w:szCs w:val="20"/>
              </w:rPr>
              <w:t> </w:t>
            </w:r>
          </w:p>
        </w:tc>
      </w:tr>
      <w:tr w:rsidR="00D40B05" w:rsidRPr="003B37F4" w14:paraId="73696047" w14:textId="77777777" w:rsidTr="00313653">
        <w:trPr>
          <w:gridAfter w:val="2"/>
          <w:wAfter w:w="1217" w:type="dxa"/>
          <w:trHeight w:val="270"/>
        </w:trPr>
        <w:tc>
          <w:tcPr>
            <w:tcW w:w="3473" w:type="dxa"/>
            <w:gridSpan w:val="2"/>
            <w:tcBorders>
              <w:top w:val="nil"/>
              <w:left w:val="nil"/>
              <w:bottom w:val="nil"/>
              <w:right w:val="nil"/>
            </w:tcBorders>
            <w:shd w:val="clear" w:color="auto" w:fill="auto"/>
            <w:noWrap/>
            <w:vAlign w:val="center"/>
            <w:hideMark/>
          </w:tcPr>
          <w:p w14:paraId="47A47E9F" w14:textId="77777777" w:rsidR="00D40B05" w:rsidRPr="003B37F4" w:rsidRDefault="00D40B05" w:rsidP="00D40B05">
            <w:pPr>
              <w:widowControl/>
              <w:autoSpaceDE/>
              <w:autoSpaceDN/>
              <w:adjustRightInd/>
              <w:rPr>
                <w:rFonts w:cs="Arial"/>
                <w:szCs w:val="20"/>
              </w:rPr>
            </w:pPr>
            <w:r w:rsidRPr="003B37F4">
              <w:rPr>
                <w:rFonts w:cs="Arial"/>
                <w:szCs w:val="20"/>
              </w:rPr>
              <w:t>Total General Receipts</w:t>
            </w:r>
          </w:p>
        </w:tc>
        <w:tc>
          <w:tcPr>
            <w:tcW w:w="1217" w:type="dxa"/>
            <w:tcBorders>
              <w:top w:val="nil"/>
              <w:left w:val="nil"/>
              <w:bottom w:val="single" w:sz="8" w:space="0" w:color="auto"/>
              <w:right w:val="nil"/>
            </w:tcBorders>
            <w:shd w:val="clear" w:color="auto" w:fill="auto"/>
            <w:noWrap/>
            <w:vAlign w:val="center"/>
            <w:hideMark/>
          </w:tcPr>
          <w:p w14:paraId="0C9A806B" w14:textId="222B0869" w:rsidR="00D40B05" w:rsidRPr="003B37F4" w:rsidRDefault="00915A1A" w:rsidP="00D40B05">
            <w:pPr>
              <w:widowControl/>
              <w:autoSpaceDE/>
              <w:autoSpaceDN/>
              <w:adjustRightInd/>
              <w:jc w:val="right"/>
              <w:rPr>
                <w:rFonts w:cs="Arial"/>
                <w:szCs w:val="20"/>
              </w:rPr>
            </w:pPr>
            <w:r w:rsidRPr="003B37F4">
              <w:rPr>
                <w:rFonts w:cs="Arial"/>
                <w:szCs w:val="20"/>
              </w:rPr>
              <w:t>481702</w:t>
            </w:r>
          </w:p>
        </w:tc>
        <w:tc>
          <w:tcPr>
            <w:tcW w:w="884" w:type="dxa"/>
            <w:tcBorders>
              <w:top w:val="nil"/>
              <w:left w:val="nil"/>
              <w:bottom w:val="nil"/>
              <w:right w:val="nil"/>
            </w:tcBorders>
            <w:shd w:val="clear" w:color="auto" w:fill="auto"/>
            <w:noWrap/>
            <w:vAlign w:val="center"/>
            <w:hideMark/>
          </w:tcPr>
          <w:p w14:paraId="1E3D3681" w14:textId="77777777" w:rsidR="00D40B05" w:rsidRPr="003B37F4" w:rsidRDefault="00D40B05" w:rsidP="00D40B05">
            <w:pPr>
              <w:widowControl/>
              <w:autoSpaceDE/>
              <w:autoSpaceDN/>
              <w:adjustRightInd/>
              <w:rPr>
                <w:rFonts w:cs="Arial"/>
                <w:szCs w:val="20"/>
              </w:rPr>
            </w:pPr>
          </w:p>
        </w:tc>
        <w:tc>
          <w:tcPr>
            <w:tcW w:w="1217" w:type="dxa"/>
            <w:tcBorders>
              <w:top w:val="nil"/>
              <w:left w:val="nil"/>
              <w:bottom w:val="single" w:sz="8" w:space="0" w:color="auto"/>
              <w:right w:val="nil"/>
            </w:tcBorders>
            <w:shd w:val="clear" w:color="auto" w:fill="auto"/>
            <w:vAlign w:val="center"/>
          </w:tcPr>
          <w:p w14:paraId="2D60BE18" w14:textId="165400D1" w:rsidR="00D40B05" w:rsidRPr="003B37F4" w:rsidRDefault="00D40B05" w:rsidP="00D40B05">
            <w:pPr>
              <w:widowControl/>
              <w:autoSpaceDE/>
              <w:autoSpaceDN/>
              <w:adjustRightInd/>
              <w:jc w:val="right"/>
              <w:rPr>
                <w:rFonts w:cs="Arial"/>
                <w:szCs w:val="20"/>
              </w:rPr>
            </w:pPr>
            <w:r w:rsidRPr="003B37F4">
              <w:rPr>
                <w:rFonts w:cs="Arial"/>
                <w:szCs w:val="20"/>
              </w:rPr>
              <w:t>470514</w:t>
            </w:r>
          </w:p>
        </w:tc>
      </w:tr>
      <w:tr w:rsidR="00D40B05" w:rsidRPr="003B37F4" w14:paraId="4FED47DA" w14:textId="77777777" w:rsidTr="00313653">
        <w:trPr>
          <w:gridAfter w:val="2"/>
          <w:wAfter w:w="1217" w:type="dxa"/>
          <w:trHeight w:val="270"/>
        </w:trPr>
        <w:tc>
          <w:tcPr>
            <w:tcW w:w="3473" w:type="dxa"/>
            <w:gridSpan w:val="2"/>
            <w:tcBorders>
              <w:top w:val="nil"/>
              <w:left w:val="nil"/>
              <w:bottom w:val="nil"/>
              <w:right w:val="nil"/>
            </w:tcBorders>
            <w:shd w:val="clear" w:color="auto" w:fill="auto"/>
            <w:noWrap/>
            <w:vAlign w:val="center"/>
            <w:hideMark/>
          </w:tcPr>
          <w:p w14:paraId="2C9F8186" w14:textId="77777777" w:rsidR="00D40B05" w:rsidRPr="003B37F4" w:rsidRDefault="00D40B05" w:rsidP="00D40B05">
            <w:pPr>
              <w:widowControl/>
              <w:autoSpaceDE/>
              <w:autoSpaceDN/>
              <w:adjustRightInd/>
              <w:rPr>
                <w:rFonts w:cs="Arial"/>
                <w:szCs w:val="20"/>
              </w:rPr>
            </w:pPr>
            <w:r w:rsidRPr="003B37F4">
              <w:rPr>
                <w:rFonts w:cs="Arial"/>
                <w:szCs w:val="20"/>
              </w:rPr>
              <w:t>Total Receipts</w:t>
            </w:r>
          </w:p>
        </w:tc>
        <w:tc>
          <w:tcPr>
            <w:tcW w:w="1217" w:type="dxa"/>
            <w:tcBorders>
              <w:top w:val="nil"/>
              <w:left w:val="nil"/>
              <w:bottom w:val="single" w:sz="8" w:space="0" w:color="auto"/>
              <w:right w:val="nil"/>
            </w:tcBorders>
            <w:shd w:val="clear" w:color="auto" w:fill="auto"/>
            <w:noWrap/>
            <w:vAlign w:val="center"/>
            <w:hideMark/>
          </w:tcPr>
          <w:p w14:paraId="7E38C3B9" w14:textId="6F9CB71D" w:rsidR="00D40B05" w:rsidRPr="003B37F4" w:rsidRDefault="00915A1A" w:rsidP="00D40B05">
            <w:pPr>
              <w:widowControl/>
              <w:autoSpaceDE/>
              <w:autoSpaceDN/>
              <w:adjustRightInd/>
              <w:jc w:val="right"/>
              <w:rPr>
                <w:rFonts w:cs="Arial"/>
                <w:szCs w:val="20"/>
              </w:rPr>
            </w:pPr>
            <w:r w:rsidRPr="00EB4851">
              <w:rPr>
                <w:rFonts w:cs="Arial"/>
                <w:szCs w:val="20"/>
                <w:highlight w:val="yellow"/>
              </w:rPr>
              <w:t>1550256</w:t>
            </w:r>
          </w:p>
        </w:tc>
        <w:tc>
          <w:tcPr>
            <w:tcW w:w="884" w:type="dxa"/>
            <w:tcBorders>
              <w:top w:val="nil"/>
              <w:left w:val="nil"/>
              <w:bottom w:val="nil"/>
              <w:right w:val="nil"/>
            </w:tcBorders>
            <w:shd w:val="clear" w:color="auto" w:fill="auto"/>
            <w:noWrap/>
            <w:vAlign w:val="center"/>
            <w:hideMark/>
          </w:tcPr>
          <w:p w14:paraId="62B98C70" w14:textId="77777777" w:rsidR="00D40B05" w:rsidRPr="003B37F4" w:rsidRDefault="00D40B05" w:rsidP="00D40B05">
            <w:pPr>
              <w:widowControl/>
              <w:autoSpaceDE/>
              <w:autoSpaceDN/>
              <w:adjustRightInd/>
              <w:rPr>
                <w:rFonts w:cs="Arial"/>
                <w:szCs w:val="20"/>
              </w:rPr>
            </w:pPr>
          </w:p>
        </w:tc>
        <w:tc>
          <w:tcPr>
            <w:tcW w:w="1217" w:type="dxa"/>
            <w:tcBorders>
              <w:top w:val="nil"/>
              <w:left w:val="nil"/>
              <w:bottom w:val="single" w:sz="8" w:space="0" w:color="auto"/>
              <w:right w:val="nil"/>
            </w:tcBorders>
            <w:shd w:val="clear" w:color="auto" w:fill="auto"/>
            <w:vAlign w:val="center"/>
          </w:tcPr>
          <w:p w14:paraId="034D84D3" w14:textId="5BEDBD6C" w:rsidR="00D40B05" w:rsidRPr="003B37F4" w:rsidRDefault="00D40B05" w:rsidP="00D40B05">
            <w:pPr>
              <w:widowControl/>
              <w:autoSpaceDE/>
              <w:autoSpaceDN/>
              <w:adjustRightInd/>
              <w:jc w:val="right"/>
              <w:rPr>
                <w:rFonts w:cs="Arial"/>
                <w:szCs w:val="20"/>
              </w:rPr>
            </w:pPr>
            <w:r w:rsidRPr="00F74BE4">
              <w:rPr>
                <w:rFonts w:cs="Arial"/>
                <w:szCs w:val="20"/>
                <w:highlight w:val="yellow"/>
              </w:rPr>
              <w:t>14134</w:t>
            </w:r>
            <w:r w:rsidR="00F74BE4" w:rsidRPr="00F74BE4">
              <w:rPr>
                <w:rFonts w:cs="Arial"/>
                <w:szCs w:val="20"/>
                <w:highlight w:val="yellow"/>
              </w:rPr>
              <w:t>79</w:t>
            </w:r>
          </w:p>
        </w:tc>
      </w:tr>
      <w:tr w:rsidR="00E57572" w:rsidRPr="003B37F4" w14:paraId="7FE11B2B" w14:textId="77777777" w:rsidTr="00313653">
        <w:trPr>
          <w:gridAfter w:val="2"/>
          <w:wAfter w:w="1217" w:type="dxa"/>
          <w:trHeight w:val="255"/>
        </w:trPr>
        <w:tc>
          <w:tcPr>
            <w:tcW w:w="3251" w:type="dxa"/>
            <w:tcBorders>
              <w:top w:val="nil"/>
              <w:left w:val="nil"/>
              <w:bottom w:val="nil"/>
              <w:right w:val="nil"/>
            </w:tcBorders>
            <w:shd w:val="clear" w:color="auto" w:fill="auto"/>
            <w:noWrap/>
            <w:vAlign w:val="center"/>
            <w:hideMark/>
          </w:tcPr>
          <w:p w14:paraId="5CEA4EB0" w14:textId="77777777" w:rsidR="00E57572" w:rsidRPr="003B37F4" w:rsidRDefault="00E57572" w:rsidP="00615EB3">
            <w:pPr>
              <w:widowControl/>
              <w:autoSpaceDE/>
              <w:autoSpaceDN/>
              <w:adjustRightInd/>
              <w:jc w:val="both"/>
              <w:rPr>
                <w:rFonts w:cs="Arial"/>
                <w:szCs w:val="20"/>
              </w:rPr>
            </w:pPr>
          </w:p>
        </w:tc>
        <w:tc>
          <w:tcPr>
            <w:tcW w:w="222" w:type="dxa"/>
            <w:tcBorders>
              <w:top w:val="nil"/>
              <w:left w:val="nil"/>
              <w:bottom w:val="nil"/>
              <w:right w:val="nil"/>
            </w:tcBorders>
            <w:shd w:val="clear" w:color="auto" w:fill="auto"/>
            <w:noWrap/>
            <w:vAlign w:val="bottom"/>
            <w:hideMark/>
          </w:tcPr>
          <w:p w14:paraId="23D99446" w14:textId="77777777" w:rsidR="00E57572" w:rsidRPr="003B37F4" w:rsidRDefault="00E57572" w:rsidP="00615EB3">
            <w:pPr>
              <w:widowControl/>
              <w:autoSpaceDE/>
              <w:autoSpaceDN/>
              <w:adjustRightInd/>
              <w:rPr>
                <w:rFonts w:cs="Arial"/>
                <w:szCs w:val="20"/>
              </w:rPr>
            </w:pPr>
          </w:p>
        </w:tc>
        <w:tc>
          <w:tcPr>
            <w:tcW w:w="1217" w:type="dxa"/>
            <w:tcBorders>
              <w:top w:val="nil"/>
              <w:left w:val="nil"/>
              <w:bottom w:val="nil"/>
              <w:right w:val="nil"/>
            </w:tcBorders>
            <w:shd w:val="clear" w:color="auto" w:fill="auto"/>
            <w:noWrap/>
            <w:vAlign w:val="bottom"/>
            <w:hideMark/>
          </w:tcPr>
          <w:p w14:paraId="6D1A0F34" w14:textId="77777777" w:rsidR="00E57572" w:rsidRPr="003B37F4" w:rsidRDefault="00E57572" w:rsidP="00615EB3">
            <w:pPr>
              <w:widowControl/>
              <w:autoSpaceDE/>
              <w:autoSpaceDN/>
              <w:adjustRightInd/>
              <w:rPr>
                <w:rFonts w:cs="Arial"/>
                <w:szCs w:val="20"/>
              </w:rPr>
            </w:pPr>
          </w:p>
        </w:tc>
        <w:tc>
          <w:tcPr>
            <w:tcW w:w="884" w:type="dxa"/>
            <w:tcBorders>
              <w:top w:val="nil"/>
              <w:left w:val="nil"/>
              <w:bottom w:val="nil"/>
              <w:right w:val="nil"/>
            </w:tcBorders>
            <w:shd w:val="clear" w:color="auto" w:fill="auto"/>
            <w:noWrap/>
            <w:vAlign w:val="bottom"/>
            <w:hideMark/>
          </w:tcPr>
          <w:p w14:paraId="1BC62C90" w14:textId="77777777" w:rsidR="00E57572" w:rsidRPr="003B37F4" w:rsidRDefault="00E57572" w:rsidP="00615EB3">
            <w:pPr>
              <w:widowControl/>
              <w:autoSpaceDE/>
              <w:autoSpaceDN/>
              <w:adjustRightInd/>
              <w:rPr>
                <w:rFonts w:cs="Arial"/>
                <w:szCs w:val="20"/>
              </w:rPr>
            </w:pPr>
          </w:p>
        </w:tc>
        <w:tc>
          <w:tcPr>
            <w:tcW w:w="1217" w:type="dxa"/>
            <w:tcBorders>
              <w:top w:val="nil"/>
              <w:left w:val="nil"/>
              <w:bottom w:val="nil"/>
              <w:right w:val="nil"/>
            </w:tcBorders>
            <w:shd w:val="clear" w:color="auto" w:fill="auto"/>
            <w:noWrap/>
            <w:vAlign w:val="bottom"/>
            <w:hideMark/>
          </w:tcPr>
          <w:p w14:paraId="1CA84EBB" w14:textId="77777777" w:rsidR="00E57572" w:rsidRPr="003B37F4" w:rsidRDefault="00E57572" w:rsidP="00615EB3">
            <w:pPr>
              <w:widowControl/>
              <w:autoSpaceDE/>
              <w:autoSpaceDN/>
              <w:adjustRightInd/>
              <w:rPr>
                <w:rFonts w:cs="Arial"/>
                <w:szCs w:val="20"/>
              </w:rPr>
            </w:pPr>
          </w:p>
        </w:tc>
      </w:tr>
      <w:tr w:rsidR="00E57572" w:rsidRPr="003B37F4" w14:paraId="02B0179F" w14:textId="77777777" w:rsidTr="00313653">
        <w:trPr>
          <w:gridAfter w:val="2"/>
          <w:wAfter w:w="1217" w:type="dxa"/>
          <w:trHeight w:val="255"/>
        </w:trPr>
        <w:tc>
          <w:tcPr>
            <w:tcW w:w="3473" w:type="dxa"/>
            <w:gridSpan w:val="2"/>
            <w:tcBorders>
              <w:top w:val="nil"/>
              <w:left w:val="nil"/>
              <w:bottom w:val="nil"/>
              <w:right w:val="nil"/>
            </w:tcBorders>
            <w:shd w:val="clear" w:color="auto" w:fill="auto"/>
            <w:noWrap/>
            <w:vAlign w:val="center"/>
            <w:hideMark/>
          </w:tcPr>
          <w:p w14:paraId="79DC4C82" w14:textId="77777777" w:rsidR="00E57572" w:rsidRPr="003B37F4" w:rsidRDefault="00E57572" w:rsidP="00615EB3">
            <w:pPr>
              <w:widowControl/>
              <w:autoSpaceDE/>
              <w:autoSpaceDN/>
              <w:adjustRightInd/>
              <w:rPr>
                <w:rFonts w:cs="Arial"/>
                <w:b/>
                <w:bCs/>
                <w:szCs w:val="20"/>
              </w:rPr>
            </w:pPr>
            <w:r w:rsidRPr="003B37F4">
              <w:rPr>
                <w:rFonts w:cs="Arial"/>
                <w:b/>
                <w:bCs/>
                <w:szCs w:val="20"/>
              </w:rPr>
              <w:t>Disbursements:</w:t>
            </w:r>
          </w:p>
        </w:tc>
        <w:tc>
          <w:tcPr>
            <w:tcW w:w="1217" w:type="dxa"/>
            <w:tcBorders>
              <w:top w:val="nil"/>
              <w:left w:val="nil"/>
              <w:bottom w:val="nil"/>
              <w:right w:val="nil"/>
            </w:tcBorders>
            <w:shd w:val="clear" w:color="auto" w:fill="auto"/>
            <w:noWrap/>
            <w:vAlign w:val="center"/>
            <w:hideMark/>
          </w:tcPr>
          <w:p w14:paraId="13701C3A" w14:textId="77777777" w:rsidR="00E57572" w:rsidRPr="003B37F4" w:rsidRDefault="00E57572" w:rsidP="00615EB3">
            <w:pPr>
              <w:widowControl/>
              <w:autoSpaceDE/>
              <w:autoSpaceDN/>
              <w:adjustRightInd/>
              <w:rPr>
                <w:rFonts w:cs="Arial"/>
                <w:szCs w:val="20"/>
              </w:rPr>
            </w:pPr>
          </w:p>
        </w:tc>
        <w:tc>
          <w:tcPr>
            <w:tcW w:w="884" w:type="dxa"/>
            <w:tcBorders>
              <w:top w:val="nil"/>
              <w:left w:val="nil"/>
              <w:bottom w:val="nil"/>
              <w:right w:val="nil"/>
            </w:tcBorders>
            <w:shd w:val="clear" w:color="auto" w:fill="auto"/>
            <w:noWrap/>
            <w:vAlign w:val="center"/>
            <w:hideMark/>
          </w:tcPr>
          <w:p w14:paraId="4EF7A06E" w14:textId="77777777" w:rsidR="00E57572" w:rsidRPr="003B37F4" w:rsidRDefault="00E57572" w:rsidP="00615EB3">
            <w:pPr>
              <w:widowControl/>
              <w:autoSpaceDE/>
              <w:autoSpaceDN/>
              <w:adjustRightInd/>
              <w:rPr>
                <w:rFonts w:cs="Arial"/>
                <w:szCs w:val="20"/>
              </w:rPr>
            </w:pPr>
          </w:p>
        </w:tc>
        <w:tc>
          <w:tcPr>
            <w:tcW w:w="1217" w:type="dxa"/>
            <w:tcBorders>
              <w:top w:val="nil"/>
              <w:left w:val="nil"/>
              <w:bottom w:val="nil"/>
              <w:right w:val="nil"/>
            </w:tcBorders>
            <w:shd w:val="clear" w:color="auto" w:fill="auto"/>
            <w:noWrap/>
            <w:vAlign w:val="center"/>
            <w:hideMark/>
          </w:tcPr>
          <w:p w14:paraId="0CD2811E" w14:textId="77777777" w:rsidR="00E57572" w:rsidRPr="003B37F4" w:rsidRDefault="00E57572" w:rsidP="00615EB3">
            <w:pPr>
              <w:widowControl/>
              <w:autoSpaceDE/>
              <w:autoSpaceDN/>
              <w:adjustRightInd/>
              <w:rPr>
                <w:rFonts w:cs="Arial"/>
                <w:szCs w:val="20"/>
              </w:rPr>
            </w:pPr>
          </w:p>
        </w:tc>
      </w:tr>
      <w:tr w:rsidR="00E57572" w:rsidRPr="003B37F4" w14:paraId="20CF7EF6" w14:textId="77777777" w:rsidTr="00313653">
        <w:trPr>
          <w:gridAfter w:val="2"/>
          <w:wAfter w:w="1217" w:type="dxa"/>
          <w:trHeight w:val="255"/>
        </w:trPr>
        <w:tc>
          <w:tcPr>
            <w:tcW w:w="4690" w:type="dxa"/>
            <w:gridSpan w:val="3"/>
            <w:tcBorders>
              <w:top w:val="nil"/>
              <w:left w:val="nil"/>
              <w:bottom w:val="nil"/>
              <w:right w:val="nil"/>
            </w:tcBorders>
            <w:shd w:val="clear" w:color="auto" w:fill="auto"/>
            <w:noWrap/>
            <w:vAlign w:val="center"/>
            <w:hideMark/>
          </w:tcPr>
          <w:p w14:paraId="3886D952" w14:textId="77777777" w:rsidR="00E57572" w:rsidRPr="003B37F4" w:rsidRDefault="00E57572" w:rsidP="00615EB3">
            <w:pPr>
              <w:widowControl/>
              <w:autoSpaceDE/>
              <w:autoSpaceDN/>
              <w:adjustRightInd/>
              <w:rPr>
                <w:rFonts w:cs="Arial"/>
                <w:b/>
                <w:bCs/>
                <w:szCs w:val="20"/>
              </w:rPr>
            </w:pPr>
            <w:r w:rsidRPr="003B37F4">
              <w:rPr>
                <w:rFonts w:cs="Arial"/>
                <w:b/>
                <w:bCs/>
                <w:szCs w:val="20"/>
              </w:rPr>
              <w:t>Environmental Health</w:t>
            </w:r>
          </w:p>
        </w:tc>
        <w:tc>
          <w:tcPr>
            <w:tcW w:w="884" w:type="dxa"/>
            <w:tcBorders>
              <w:top w:val="nil"/>
              <w:left w:val="nil"/>
              <w:bottom w:val="nil"/>
              <w:right w:val="nil"/>
            </w:tcBorders>
            <w:shd w:val="clear" w:color="auto" w:fill="auto"/>
            <w:noWrap/>
            <w:vAlign w:val="center"/>
            <w:hideMark/>
          </w:tcPr>
          <w:p w14:paraId="284BFF3A" w14:textId="77777777" w:rsidR="00E57572" w:rsidRPr="003B37F4" w:rsidRDefault="00E57572" w:rsidP="00615EB3">
            <w:pPr>
              <w:widowControl/>
              <w:autoSpaceDE/>
              <w:autoSpaceDN/>
              <w:adjustRightInd/>
              <w:rPr>
                <w:rFonts w:cs="Arial"/>
                <w:szCs w:val="20"/>
              </w:rPr>
            </w:pPr>
          </w:p>
        </w:tc>
        <w:tc>
          <w:tcPr>
            <w:tcW w:w="1217" w:type="dxa"/>
            <w:tcBorders>
              <w:top w:val="nil"/>
              <w:left w:val="nil"/>
              <w:bottom w:val="nil"/>
              <w:right w:val="nil"/>
            </w:tcBorders>
            <w:shd w:val="clear" w:color="auto" w:fill="auto"/>
            <w:noWrap/>
            <w:vAlign w:val="center"/>
            <w:hideMark/>
          </w:tcPr>
          <w:p w14:paraId="068B15C9" w14:textId="77777777" w:rsidR="00E57572" w:rsidRPr="003B37F4" w:rsidRDefault="00E57572" w:rsidP="00615EB3">
            <w:pPr>
              <w:widowControl/>
              <w:autoSpaceDE/>
              <w:autoSpaceDN/>
              <w:adjustRightInd/>
              <w:jc w:val="right"/>
              <w:rPr>
                <w:rFonts w:cs="Arial"/>
                <w:szCs w:val="20"/>
              </w:rPr>
            </w:pPr>
            <w:r w:rsidRPr="003B37F4">
              <w:rPr>
                <w:rFonts w:cs="Arial"/>
                <w:szCs w:val="20"/>
              </w:rPr>
              <w:t xml:space="preserve"> </w:t>
            </w:r>
          </w:p>
        </w:tc>
      </w:tr>
      <w:tr w:rsidR="00D40B05" w:rsidRPr="003B37F4" w14:paraId="1AAB2244" w14:textId="77777777" w:rsidTr="00313653">
        <w:trPr>
          <w:gridAfter w:val="2"/>
          <w:wAfter w:w="1217" w:type="dxa"/>
          <w:trHeight w:val="255"/>
        </w:trPr>
        <w:tc>
          <w:tcPr>
            <w:tcW w:w="3473" w:type="dxa"/>
            <w:gridSpan w:val="2"/>
            <w:tcBorders>
              <w:top w:val="nil"/>
              <w:left w:val="nil"/>
              <w:bottom w:val="nil"/>
              <w:right w:val="nil"/>
            </w:tcBorders>
            <w:shd w:val="clear" w:color="auto" w:fill="auto"/>
            <w:noWrap/>
            <w:vAlign w:val="center"/>
            <w:hideMark/>
          </w:tcPr>
          <w:p w14:paraId="53466D05" w14:textId="77777777" w:rsidR="00D40B05" w:rsidRPr="003B37F4" w:rsidRDefault="00D40B05" w:rsidP="00D40B05">
            <w:pPr>
              <w:widowControl/>
              <w:autoSpaceDE/>
              <w:autoSpaceDN/>
              <w:adjustRightInd/>
              <w:rPr>
                <w:rFonts w:cs="Arial"/>
                <w:szCs w:val="20"/>
              </w:rPr>
            </w:pPr>
            <w:r w:rsidRPr="003B37F4">
              <w:rPr>
                <w:rFonts w:cs="Arial"/>
                <w:szCs w:val="20"/>
              </w:rPr>
              <w:t xml:space="preserve">  Food Program</w:t>
            </w:r>
          </w:p>
        </w:tc>
        <w:tc>
          <w:tcPr>
            <w:tcW w:w="1217" w:type="dxa"/>
            <w:tcBorders>
              <w:top w:val="nil"/>
              <w:left w:val="nil"/>
              <w:bottom w:val="nil"/>
              <w:right w:val="nil"/>
            </w:tcBorders>
            <w:shd w:val="clear" w:color="auto" w:fill="auto"/>
            <w:noWrap/>
            <w:vAlign w:val="bottom"/>
            <w:hideMark/>
          </w:tcPr>
          <w:p w14:paraId="4FD147DC" w14:textId="2CA0D9A2" w:rsidR="00D40B05" w:rsidRPr="003B37F4" w:rsidRDefault="00313653" w:rsidP="00D40B05">
            <w:pPr>
              <w:widowControl/>
              <w:autoSpaceDE/>
              <w:autoSpaceDN/>
              <w:adjustRightInd/>
              <w:jc w:val="right"/>
              <w:rPr>
                <w:rFonts w:cs="Arial"/>
                <w:szCs w:val="20"/>
              </w:rPr>
            </w:pPr>
            <w:r w:rsidRPr="003B37F4">
              <w:rPr>
                <w:rFonts w:cs="Arial"/>
                <w:szCs w:val="20"/>
              </w:rPr>
              <w:t>99534</w:t>
            </w:r>
          </w:p>
        </w:tc>
        <w:tc>
          <w:tcPr>
            <w:tcW w:w="884" w:type="dxa"/>
            <w:tcBorders>
              <w:top w:val="nil"/>
              <w:left w:val="nil"/>
              <w:bottom w:val="nil"/>
              <w:right w:val="nil"/>
            </w:tcBorders>
            <w:shd w:val="clear" w:color="auto" w:fill="auto"/>
            <w:noWrap/>
            <w:vAlign w:val="center"/>
            <w:hideMark/>
          </w:tcPr>
          <w:p w14:paraId="2ABEA41B" w14:textId="77777777" w:rsidR="00D40B05" w:rsidRPr="003B37F4" w:rsidRDefault="00D40B05" w:rsidP="00D40B05">
            <w:pPr>
              <w:widowControl/>
              <w:autoSpaceDE/>
              <w:autoSpaceDN/>
              <w:adjustRightInd/>
              <w:rPr>
                <w:rFonts w:cs="Arial"/>
                <w:szCs w:val="20"/>
              </w:rPr>
            </w:pPr>
          </w:p>
        </w:tc>
        <w:tc>
          <w:tcPr>
            <w:tcW w:w="1217" w:type="dxa"/>
            <w:tcBorders>
              <w:top w:val="nil"/>
              <w:left w:val="nil"/>
              <w:bottom w:val="nil"/>
              <w:right w:val="nil"/>
            </w:tcBorders>
            <w:shd w:val="clear" w:color="auto" w:fill="auto"/>
            <w:noWrap/>
            <w:vAlign w:val="bottom"/>
            <w:hideMark/>
          </w:tcPr>
          <w:p w14:paraId="6EAA69D6" w14:textId="015CAD3C" w:rsidR="00D40B05" w:rsidRPr="003B37F4" w:rsidRDefault="00D40B05" w:rsidP="00D40B05">
            <w:pPr>
              <w:widowControl/>
              <w:autoSpaceDE/>
              <w:autoSpaceDN/>
              <w:adjustRightInd/>
              <w:jc w:val="right"/>
              <w:rPr>
                <w:rFonts w:cs="Arial"/>
                <w:szCs w:val="20"/>
              </w:rPr>
            </w:pPr>
            <w:r w:rsidRPr="003B37F4">
              <w:rPr>
                <w:rFonts w:cs="Arial"/>
                <w:szCs w:val="20"/>
              </w:rPr>
              <w:t>86043</w:t>
            </w:r>
          </w:p>
        </w:tc>
      </w:tr>
      <w:tr w:rsidR="00D40B05" w:rsidRPr="003B37F4" w14:paraId="0D14573E" w14:textId="77777777" w:rsidTr="00313653">
        <w:trPr>
          <w:gridAfter w:val="2"/>
          <w:wAfter w:w="1217" w:type="dxa"/>
          <w:trHeight w:val="255"/>
        </w:trPr>
        <w:tc>
          <w:tcPr>
            <w:tcW w:w="3473" w:type="dxa"/>
            <w:gridSpan w:val="2"/>
            <w:tcBorders>
              <w:top w:val="nil"/>
              <w:left w:val="nil"/>
              <w:bottom w:val="nil"/>
              <w:right w:val="nil"/>
            </w:tcBorders>
            <w:shd w:val="clear" w:color="auto" w:fill="auto"/>
            <w:noWrap/>
            <w:vAlign w:val="center"/>
            <w:hideMark/>
          </w:tcPr>
          <w:p w14:paraId="324E575B" w14:textId="77777777" w:rsidR="00D40B05" w:rsidRPr="003B37F4" w:rsidRDefault="00D40B05" w:rsidP="00D40B05">
            <w:pPr>
              <w:widowControl/>
              <w:autoSpaceDE/>
              <w:autoSpaceDN/>
              <w:adjustRightInd/>
              <w:rPr>
                <w:rFonts w:cs="Arial"/>
                <w:szCs w:val="20"/>
              </w:rPr>
            </w:pPr>
            <w:r w:rsidRPr="003B37F4">
              <w:rPr>
                <w:rFonts w:cs="Arial"/>
                <w:szCs w:val="20"/>
              </w:rPr>
              <w:t xml:space="preserve">  Solid Waste</w:t>
            </w:r>
          </w:p>
        </w:tc>
        <w:tc>
          <w:tcPr>
            <w:tcW w:w="1217" w:type="dxa"/>
            <w:tcBorders>
              <w:top w:val="nil"/>
              <w:left w:val="nil"/>
              <w:bottom w:val="nil"/>
              <w:right w:val="nil"/>
            </w:tcBorders>
            <w:shd w:val="clear" w:color="auto" w:fill="auto"/>
            <w:noWrap/>
            <w:vAlign w:val="bottom"/>
            <w:hideMark/>
          </w:tcPr>
          <w:p w14:paraId="027A10EF" w14:textId="45FDE603" w:rsidR="00D40B05" w:rsidRPr="003B37F4" w:rsidRDefault="00313653" w:rsidP="00D40B05">
            <w:pPr>
              <w:widowControl/>
              <w:autoSpaceDE/>
              <w:autoSpaceDN/>
              <w:adjustRightInd/>
              <w:jc w:val="right"/>
              <w:rPr>
                <w:rFonts w:cs="Arial"/>
                <w:szCs w:val="20"/>
              </w:rPr>
            </w:pPr>
            <w:r w:rsidRPr="003B37F4">
              <w:rPr>
                <w:rFonts w:cs="Arial"/>
                <w:szCs w:val="20"/>
              </w:rPr>
              <w:t>4655</w:t>
            </w:r>
          </w:p>
        </w:tc>
        <w:tc>
          <w:tcPr>
            <w:tcW w:w="884" w:type="dxa"/>
            <w:tcBorders>
              <w:top w:val="nil"/>
              <w:left w:val="nil"/>
              <w:bottom w:val="nil"/>
              <w:right w:val="nil"/>
            </w:tcBorders>
            <w:shd w:val="clear" w:color="auto" w:fill="auto"/>
            <w:noWrap/>
            <w:vAlign w:val="center"/>
            <w:hideMark/>
          </w:tcPr>
          <w:p w14:paraId="1FE85042" w14:textId="77777777" w:rsidR="00D40B05" w:rsidRPr="003B37F4" w:rsidRDefault="00D40B05" w:rsidP="00D40B05">
            <w:pPr>
              <w:widowControl/>
              <w:autoSpaceDE/>
              <w:autoSpaceDN/>
              <w:adjustRightInd/>
              <w:rPr>
                <w:rFonts w:cs="Arial"/>
                <w:szCs w:val="20"/>
              </w:rPr>
            </w:pPr>
          </w:p>
        </w:tc>
        <w:tc>
          <w:tcPr>
            <w:tcW w:w="1217" w:type="dxa"/>
            <w:tcBorders>
              <w:top w:val="nil"/>
              <w:left w:val="nil"/>
              <w:bottom w:val="nil"/>
              <w:right w:val="nil"/>
            </w:tcBorders>
            <w:shd w:val="clear" w:color="auto" w:fill="auto"/>
            <w:noWrap/>
            <w:vAlign w:val="bottom"/>
            <w:hideMark/>
          </w:tcPr>
          <w:p w14:paraId="2E5BA6A2" w14:textId="37CA52FD" w:rsidR="00D40B05" w:rsidRPr="003B37F4" w:rsidRDefault="00D40B05" w:rsidP="00D40B05">
            <w:pPr>
              <w:widowControl/>
              <w:autoSpaceDE/>
              <w:autoSpaceDN/>
              <w:adjustRightInd/>
              <w:jc w:val="right"/>
              <w:rPr>
                <w:rFonts w:cs="Arial"/>
                <w:szCs w:val="20"/>
              </w:rPr>
            </w:pPr>
            <w:r w:rsidRPr="003B37F4">
              <w:rPr>
                <w:rFonts w:cs="Arial"/>
                <w:szCs w:val="20"/>
              </w:rPr>
              <w:t>4594</w:t>
            </w:r>
          </w:p>
        </w:tc>
      </w:tr>
      <w:tr w:rsidR="00D40B05" w:rsidRPr="003B37F4" w14:paraId="22D69D27" w14:textId="77777777" w:rsidTr="00313653">
        <w:trPr>
          <w:gridAfter w:val="2"/>
          <w:wAfter w:w="1217" w:type="dxa"/>
          <w:trHeight w:val="255"/>
        </w:trPr>
        <w:tc>
          <w:tcPr>
            <w:tcW w:w="3473" w:type="dxa"/>
            <w:gridSpan w:val="2"/>
            <w:tcBorders>
              <w:top w:val="nil"/>
              <w:left w:val="nil"/>
              <w:bottom w:val="nil"/>
              <w:right w:val="nil"/>
            </w:tcBorders>
            <w:shd w:val="clear" w:color="auto" w:fill="auto"/>
            <w:noWrap/>
            <w:vAlign w:val="center"/>
            <w:hideMark/>
          </w:tcPr>
          <w:p w14:paraId="60639673" w14:textId="77777777" w:rsidR="00D40B05" w:rsidRPr="003B37F4" w:rsidRDefault="00D40B05" w:rsidP="00D40B05">
            <w:pPr>
              <w:widowControl/>
              <w:autoSpaceDE/>
              <w:autoSpaceDN/>
              <w:adjustRightInd/>
              <w:rPr>
                <w:rFonts w:cs="Arial"/>
                <w:szCs w:val="20"/>
              </w:rPr>
            </w:pPr>
            <w:r w:rsidRPr="003B37F4">
              <w:rPr>
                <w:rFonts w:cs="Arial"/>
                <w:szCs w:val="20"/>
              </w:rPr>
              <w:t xml:space="preserve">  Swimming Pools</w:t>
            </w:r>
          </w:p>
        </w:tc>
        <w:tc>
          <w:tcPr>
            <w:tcW w:w="1217" w:type="dxa"/>
            <w:tcBorders>
              <w:top w:val="nil"/>
              <w:left w:val="nil"/>
              <w:bottom w:val="nil"/>
              <w:right w:val="nil"/>
            </w:tcBorders>
            <w:shd w:val="clear" w:color="auto" w:fill="auto"/>
            <w:noWrap/>
            <w:vAlign w:val="bottom"/>
            <w:hideMark/>
          </w:tcPr>
          <w:p w14:paraId="678FAB11" w14:textId="6DB56492" w:rsidR="00D40B05" w:rsidRPr="003B37F4" w:rsidRDefault="00D40B05" w:rsidP="00D40B05">
            <w:pPr>
              <w:widowControl/>
              <w:autoSpaceDE/>
              <w:autoSpaceDN/>
              <w:adjustRightInd/>
              <w:jc w:val="right"/>
              <w:rPr>
                <w:rFonts w:cs="Arial"/>
                <w:szCs w:val="20"/>
              </w:rPr>
            </w:pPr>
            <w:r w:rsidRPr="003B37F4">
              <w:rPr>
                <w:rFonts w:cs="Arial"/>
                <w:szCs w:val="20"/>
              </w:rPr>
              <w:t>30</w:t>
            </w:r>
            <w:r w:rsidR="00313653" w:rsidRPr="003B37F4">
              <w:rPr>
                <w:rFonts w:cs="Arial"/>
                <w:szCs w:val="20"/>
              </w:rPr>
              <w:t>36</w:t>
            </w:r>
          </w:p>
        </w:tc>
        <w:tc>
          <w:tcPr>
            <w:tcW w:w="884" w:type="dxa"/>
            <w:tcBorders>
              <w:top w:val="nil"/>
              <w:left w:val="nil"/>
              <w:bottom w:val="nil"/>
              <w:right w:val="nil"/>
            </w:tcBorders>
            <w:shd w:val="clear" w:color="auto" w:fill="auto"/>
            <w:noWrap/>
            <w:vAlign w:val="center"/>
            <w:hideMark/>
          </w:tcPr>
          <w:p w14:paraId="0DA29D98" w14:textId="77777777" w:rsidR="00D40B05" w:rsidRPr="003B37F4" w:rsidRDefault="00D40B05" w:rsidP="00D40B05">
            <w:pPr>
              <w:widowControl/>
              <w:autoSpaceDE/>
              <w:autoSpaceDN/>
              <w:adjustRightInd/>
              <w:rPr>
                <w:rFonts w:cs="Arial"/>
                <w:szCs w:val="20"/>
              </w:rPr>
            </w:pPr>
          </w:p>
        </w:tc>
        <w:tc>
          <w:tcPr>
            <w:tcW w:w="1217" w:type="dxa"/>
            <w:tcBorders>
              <w:top w:val="nil"/>
              <w:left w:val="nil"/>
              <w:bottom w:val="nil"/>
              <w:right w:val="nil"/>
            </w:tcBorders>
            <w:shd w:val="clear" w:color="auto" w:fill="auto"/>
            <w:noWrap/>
            <w:vAlign w:val="bottom"/>
            <w:hideMark/>
          </w:tcPr>
          <w:p w14:paraId="328491B5" w14:textId="5CAC560E" w:rsidR="00D40B05" w:rsidRPr="003B37F4" w:rsidRDefault="00D40B05" w:rsidP="00D40B05">
            <w:pPr>
              <w:widowControl/>
              <w:autoSpaceDE/>
              <w:autoSpaceDN/>
              <w:adjustRightInd/>
              <w:jc w:val="right"/>
              <w:rPr>
                <w:rFonts w:cs="Arial"/>
                <w:szCs w:val="20"/>
              </w:rPr>
            </w:pPr>
            <w:r w:rsidRPr="003B37F4">
              <w:rPr>
                <w:rFonts w:cs="Arial"/>
                <w:szCs w:val="20"/>
              </w:rPr>
              <w:t>3068</w:t>
            </w:r>
          </w:p>
        </w:tc>
      </w:tr>
      <w:tr w:rsidR="00D40B05" w:rsidRPr="003B37F4" w14:paraId="12E639A1" w14:textId="77777777" w:rsidTr="00313653">
        <w:trPr>
          <w:gridAfter w:val="2"/>
          <w:wAfter w:w="1217" w:type="dxa"/>
          <w:trHeight w:val="255"/>
        </w:trPr>
        <w:tc>
          <w:tcPr>
            <w:tcW w:w="3251" w:type="dxa"/>
            <w:tcBorders>
              <w:top w:val="nil"/>
              <w:left w:val="nil"/>
              <w:bottom w:val="nil"/>
              <w:right w:val="nil"/>
            </w:tcBorders>
            <w:shd w:val="clear" w:color="auto" w:fill="auto"/>
            <w:noWrap/>
            <w:vAlign w:val="center"/>
            <w:hideMark/>
          </w:tcPr>
          <w:p w14:paraId="1E57B730" w14:textId="77777777" w:rsidR="00D40B05" w:rsidRPr="003B37F4" w:rsidRDefault="00D40B05" w:rsidP="00D40B05">
            <w:pPr>
              <w:widowControl/>
              <w:autoSpaceDE/>
              <w:autoSpaceDN/>
              <w:adjustRightInd/>
              <w:rPr>
                <w:rFonts w:cs="Arial"/>
                <w:szCs w:val="20"/>
              </w:rPr>
            </w:pPr>
            <w:r w:rsidRPr="003B37F4">
              <w:rPr>
                <w:rFonts w:cs="Arial"/>
                <w:szCs w:val="20"/>
              </w:rPr>
              <w:t xml:space="preserve">  Camps</w:t>
            </w:r>
          </w:p>
        </w:tc>
        <w:tc>
          <w:tcPr>
            <w:tcW w:w="222" w:type="dxa"/>
            <w:tcBorders>
              <w:top w:val="nil"/>
              <w:left w:val="nil"/>
              <w:bottom w:val="nil"/>
              <w:right w:val="nil"/>
            </w:tcBorders>
            <w:shd w:val="clear" w:color="auto" w:fill="auto"/>
            <w:noWrap/>
            <w:vAlign w:val="center"/>
            <w:hideMark/>
          </w:tcPr>
          <w:p w14:paraId="261B73FF" w14:textId="77777777" w:rsidR="00D40B05" w:rsidRPr="003B37F4" w:rsidRDefault="00D40B05" w:rsidP="00D40B05">
            <w:pPr>
              <w:widowControl/>
              <w:autoSpaceDE/>
              <w:autoSpaceDN/>
              <w:adjustRightInd/>
              <w:rPr>
                <w:rFonts w:cs="Arial"/>
                <w:szCs w:val="20"/>
              </w:rPr>
            </w:pPr>
          </w:p>
        </w:tc>
        <w:tc>
          <w:tcPr>
            <w:tcW w:w="1217" w:type="dxa"/>
            <w:tcBorders>
              <w:top w:val="nil"/>
              <w:left w:val="nil"/>
              <w:bottom w:val="nil"/>
              <w:right w:val="nil"/>
            </w:tcBorders>
            <w:shd w:val="clear" w:color="auto" w:fill="auto"/>
            <w:noWrap/>
            <w:vAlign w:val="bottom"/>
            <w:hideMark/>
          </w:tcPr>
          <w:p w14:paraId="063DC306" w14:textId="77777777" w:rsidR="00D40B05" w:rsidRPr="003B37F4" w:rsidRDefault="00D40B05" w:rsidP="00D40B05">
            <w:pPr>
              <w:widowControl/>
              <w:autoSpaceDE/>
              <w:autoSpaceDN/>
              <w:adjustRightInd/>
              <w:jc w:val="right"/>
              <w:rPr>
                <w:rFonts w:cs="Arial"/>
                <w:szCs w:val="20"/>
              </w:rPr>
            </w:pPr>
            <w:r w:rsidRPr="003B37F4">
              <w:rPr>
                <w:rFonts w:cs="Arial"/>
                <w:szCs w:val="20"/>
              </w:rPr>
              <w:t>0</w:t>
            </w:r>
          </w:p>
        </w:tc>
        <w:tc>
          <w:tcPr>
            <w:tcW w:w="884" w:type="dxa"/>
            <w:tcBorders>
              <w:top w:val="nil"/>
              <w:left w:val="nil"/>
              <w:bottom w:val="nil"/>
              <w:right w:val="nil"/>
            </w:tcBorders>
            <w:shd w:val="clear" w:color="auto" w:fill="auto"/>
            <w:noWrap/>
            <w:vAlign w:val="bottom"/>
            <w:hideMark/>
          </w:tcPr>
          <w:p w14:paraId="0A6F784D" w14:textId="322F44AB" w:rsidR="00D40B05" w:rsidRPr="003B37F4" w:rsidRDefault="00D40B05" w:rsidP="00D40B05">
            <w:pPr>
              <w:widowControl/>
              <w:autoSpaceDE/>
              <w:autoSpaceDN/>
              <w:adjustRightInd/>
              <w:jc w:val="right"/>
              <w:rPr>
                <w:rFonts w:cs="Arial"/>
                <w:szCs w:val="20"/>
              </w:rPr>
            </w:pPr>
          </w:p>
        </w:tc>
        <w:tc>
          <w:tcPr>
            <w:tcW w:w="1217" w:type="dxa"/>
            <w:tcBorders>
              <w:top w:val="nil"/>
              <w:left w:val="nil"/>
              <w:bottom w:val="nil"/>
              <w:right w:val="nil"/>
            </w:tcBorders>
            <w:shd w:val="clear" w:color="auto" w:fill="auto"/>
            <w:noWrap/>
            <w:vAlign w:val="center"/>
            <w:hideMark/>
          </w:tcPr>
          <w:p w14:paraId="7166E182" w14:textId="77777777" w:rsidR="00D40B05" w:rsidRPr="003B37F4" w:rsidRDefault="00D40B05" w:rsidP="00D40B05">
            <w:pPr>
              <w:widowControl/>
              <w:autoSpaceDE/>
              <w:autoSpaceDN/>
              <w:adjustRightInd/>
              <w:jc w:val="right"/>
              <w:rPr>
                <w:rFonts w:cs="Arial"/>
                <w:szCs w:val="20"/>
              </w:rPr>
            </w:pPr>
            <w:r w:rsidRPr="003B37F4">
              <w:rPr>
                <w:rFonts w:cs="Arial"/>
                <w:szCs w:val="20"/>
              </w:rPr>
              <w:t>0</w:t>
            </w:r>
          </w:p>
        </w:tc>
      </w:tr>
      <w:tr w:rsidR="00D40B05" w:rsidRPr="003B37F4" w14:paraId="43B800B6" w14:textId="77777777" w:rsidTr="00313653">
        <w:trPr>
          <w:gridAfter w:val="2"/>
          <w:wAfter w:w="1217" w:type="dxa"/>
          <w:trHeight w:val="255"/>
        </w:trPr>
        <w:tc>
          <w:tcPr>
            <w:tcW w:w="3473" w:type="dxa"/>
            <w:gridSpan w:val="2"/>
            <w:tcBorders>
              <w:top w:val="nil"/>
              <w:left w:val="nil"/>
              <w:bottom w:val="nil"/>
              <w:right w:val="nil"/>
            </w:tcBorders>
            <w:shd w:val="clear" w:color="auto" w:fill="auto"/>
            <w:noWrap/>
            <w:vAlign w:val="center"/>
            <w:hideMark/>
          </w:tcPr>
          <w:p w14:paraId="253DA3A4" w14:textId="77777777" w:rsidR="00D40B05" w:rsidRPr="003B37F4" w:rsidRDefault="00D40B05" w:rsidP="00D40B05">
            <w:pPr>
              <w:widowControl/>
              <w:autoSpaceDE/>
              <w:autoSpaceDN/>
              <w:adjustRightInd/>
              <w:rPr>
                <w:rFonts w:cs="Arial"/>
                <w:szCs w:val="20"/>
              </w:rPr>
            </w:pPr>
            <w:r w:rsidRPr="003B37F4">
              <w:rPr>
                <w:rFonts w:cs="Arial"/>
                <w:szCs w:val="20"/>
              </w:rPr>
              <w:t xml:space="preserve">  Plumbing</w:t>
            </w:r>
          </w:p>
        </w:tc>
        <w:tc>
          <w:tcPr>
            <w:tcW w:w="1217" w:type="dxa"/>
            <w:tcBorders>
              <w:top w:val="nil"/>
              <w:left w:val="nil"/>
              <w:bottom w:val="nil"/>
              <w:right w:val="nil"/>
            </w:tcBorders>
            <w:shd w:val="clear" w:color="auto" w:fill="auto"/>
            <w:noWrap/>
            <w:vAlign w:val="bottom"/>
            <w:hideMark/>
          </w:tcPr>
          <w:p w14:paraId="48BB8F5D" w14:textId="2953F39A" w:rsidR="00D40B05" w:rsidRPr="003B37F4" w:rsidRDefault="00313653" w:rsidP="00D40B05">
            <w:pPr>
              <w:widowControl/>
              <w:autoSpaceDE/>
              <w:autoSpaceDN/>
              <w:adjustRightInd/>
              <w:jc w:val="right"/>
              <w:rPr>
                <w:rFonts w:cs="Arial"/>
                <w:szCs w:val="20"/>
              </w:rPr>
            </w:pPr>
            <w:r w:rsidRPr="003B37F4">
              <w:rPr>
                <w:rFonts w:cs="Arial"/>
                <w:szCs w:val="20"/>
              </w:rPr>
              <w:t>78461</w:t>
            </w:r>
            <w:r w:rsidR="00D40B05" w:rsidRPr="003B37F4">
              <w:rPr>
                <w:rFonts w:cs="Arial"/>
                <w:szCs w:val="20"/>
              </w:rPr>
              <w:t xml:space="preserve"> </w:t>
            </w:r>
          </w:p>
        </w:tc>
        <w:tc>
          <w:tcPr>
            <w:tcW w:w="884" w:type="dxa"/>
            <w:tcBorders>
              <w:top w:val="nil"/>
              <w:left w:val="nil"/>
              <w:bottom w:val="nil"/>
              <w:right w:val="nil"/>
            </w:tcBorders>
            <w:shd w:val="clear" w:color="auto" w:fill="auto"/>
            <w:noWrap/>
            <w:vAlign w:val="center"/>
            <w:hideMark/>
          </w:tcPr>
          <w:p w14:paraId="5E77B2E2" w14:textId="77777777" w:rsidR="00D40B05" w:rsidRPr="003B37F4" w:rsidRDefault="00D40B05" w:rsidP="00D40B05">
            <w:pPr>
              <w:widowControl/>
              <w:autoSpaceDE/>
              <w:autoSpaceDN/>
              <w:adjustRightInd/>
              <w:rPr>
                <w:rFonts w:cs="Arial"/>
                <w:szCs w:val="20"/>
              </w:rPr>
            </w:pPr>
          </w:p>
        </w:tc>
        <w:tc>
          <w:tcPr>
            <w:tcW w:w="1217" w:type="dxa"/>
            <w:tcBorders>
              <w:top w:val="nil"/>
              <w:left w:val="nil"/>
              <w:bottom w:val="nil"/>
              <w:right w:val="nil"/>
            </w:tcBorders>
            <w:shd w:val="clear" w:color="auto" w:fill="auto"/>
            <w:noWrap/>
            <w:vAlign w:val="bottom"/>
            <w:hideMark/>
          </w:tcPr>
          <w:p w14:paraId="3116689C" w14:textId="07397813" w:rsidR="00D40B05" w:rsidRPr="003B37F4" w:rsidRDefault="00D40B05" w:rsidP="00D40B05">
            <w:pPr>
              <w:widowControl/>
              <w:autoSpaceDE/>
              <w:autoSpaceDN/>
              <w:adjustRightInd/>
              <w:jc w:val="right"/>
              <w:rPr>
                <w:rFonts w:cs="Arial"/>
                <w:szCs w:val="20"/>
              </w:rPr>
            </w:pPr>
            <w:r w:rsidRPr="003B37F4">
              <w:rPr>
                <w:rFonts w:cs="Arial"/>
                <w:szCs w:val="20"/>
              </w:rPr>
              <w:t xml:space="preserve">76176 </w:t>
            </w:r>
          </w:p>
        </w:tc>
      </w:tr>
      <w:tr w:rsidR="00D40B05" w:rsidRPr="003B37F4" w14:paraId="72F2B354" w14:textId="77777777" w:rsidTr="00313653">
        <w:trPr>
          <w:gridAfter w:val="2"/>
          <w:wAfter w:w="1217" w:type="dxa"/>
          <w:trHeight w:val="255"/>
        </w:trPr>
        <w:tc>
          <w:tcPr>
            <w:tcW w:w="3251" w:type="dxa"/>
            <w:tcBorders>
              <w:top w:val="nil"/>
              <w:left w:val="nil"/>
              <w:bottom w:val="nil"/>
              <w:right w:val="nil"/>
            </w:tcBorders>
            <w:shd w:val="clear" w:color="auto" w:fill="auto"/>
            <w:noWrap/>
            <w:vAlign w:val="center"/>
            <w:hideMark/>
          </w:tcPr>
          <w:p w14:paraId="0500305F" w14:textId="77777777" w:rsidR="00D40B05" w:rsidRPr="003B37F4" w:rsidRDefault="00D40B05" w:rsidP="00D40B05">
            <w:pPr>
              <w:widowControl/>
              <w:autoSpaceDE/>
              <w:autoSpaceDN/>
              <w:adjustRightInd/>
              <w:rPr>
                <w:rFonts w:cs="Arial"/>
                <w:szCs w:val="20"/>
              </w:rPr>
            </w:pPr>
            <w:r w:rsidRPr="003B37F4">
              <w:rPr>
                <w:rFonts w:cs="Arial"/>
                <w:szCs w:val="20"/>
              </w:rPr>
              <w:t xml:space="preserve">  Sewage</w:t>
            </w:r>
          </w:p>
        </w:tc>
        <w:tc>
          <w:tcPr>
            <w:tcW w:w="222" w:type="dxa"/>
            <w:tcBorders>
              <w:top w:val="nil"/>
              <w:left w:val="nil"/>
              <w:bottom w:val="nil"/>
              <w:right w:val="nil"/>
            </w:tcBorders>
            <w:shd w:val="clear" w:color="auto" w:fill="auto"/>
            <w:noWrap/>
            <w:vAlign w:val="center"/>
            <w:hideMark/>
          </w:tcPr>
          <w:p w14:paraId="734C4F5A" w14:textId="77777777" w:rsidR="00D40B05" w:rsidRPr="003B37F4" w:rsidRDefault="00D40B05" w:rsidP="00D40B05">
            <w:pPr>
              <w:widowControl/>
              <w:autoSpaceDE/>
              <w:autoSpaceDN/>
              <w:adjustRightInd/>
              <w:rPr>
                <w:rFonts w:cs="Arial"/>
                <w:szCs w:val="20"/>
              </w:rPr>
            </w:pPr>
          </w:p>
        </w:tc>
        <w:tc>
          <w:tcPr>
            <w:tcW w:w="1217" w:type="dxa"/>
            <w:tcBorders>
              <w:top w:val="nil"/>
              <w:left w:val="nil"/>
              <w:bottom w:val="nil"/>
              <w:right w:val="nil"/>
            </w:tcBorders>
            <w:shd w:val="clear" w:color="auto" w:fill="auto"/>
            <w:noWrap/>
            <w:vAlign w:val="bottom"/>
            <w:hideMark/>
          </w:tcPr>
          <w:p w14:paraId="518D1B4B" w14:textId="54021E2C" w:rsidR="00D40B05" w:rsidRPr="003B37F4" w:rsidRDefault="00313653" w:rsidP="00D40B05">
            <w:pPr>
              <w:widowControl/>
              <w:autoSpaceDE/>
              <w:autoSpaceDN/>
              <w:adjustRightInd/>
              <w:jc w:val="right"/>
              <w:rPr>
                <w:rFonts w:cs="Arial"/>
                <w:szCs w:val="20"/>
              </w:rPr>
            </w:pPr>
            <w:r w:rsidRPr="003B37F4">
              <w:rPr>
                <w:rFonts w:cs="Arial"/>
                <w:szCs w:val="20"/>
              </w:rPr>
              <w:t>66812</w:t>
            </w:r>
          </w:p>
        </w:tc>
        <w:tc>
          <w:tcPr>
            <w:tcW w:w="884" w:type="dxa"/>
            <w:tcBorders>
              <w:top w:val="nil"/>
              <w:left w:val="nil"/>
              <w:bottom w:val="nil"/>
              <w:right w:val="nil"/>
            </w:tcBorders>
            <w:shd w:val="clear" w:color="auto" w:fill="auto"/>
            <w:noWrap/>
            <w:vAlign w:val="bottom"/>
            <w:hideMark/>
          </w:tcPr>
          <w:p w14:paraId="2D5CDFCB" w14:textId="0E496EE0" w:rsidR="00D40B05" w:rsidRPr="003B37F4" w:rsidRDefault="00D40B05" w:rsidP="00D40B05">
            <w:pPr>
              <w:widowControl/>
              <w:autoSpaceDE/>
              <w:autoSpaceDN/>
              <w:adjustRightInd/>
              <w:jc w:val="right"/>
              <w:rPr>
                <w:rFonts w:cs="Arial"/>
                <w:szCs w:val="20"/>
              </w:rPr>
            </w:pPr>
          </w:p>
        </w:tc>
        <w:tc>
          <w:tcPr>
            <w:tcW w:w="1217" w:type="dxa"/>
            <w:tcBorders>
              <w:top w:val="nil"/>
              <w:left w:val="nil"/>
              <w:bottom w:val="nil"/>
              <w:right w:val="nil"/>
            </w:tcBorders>
            <w:shd w:val="clear" w:color="auto" w:fill="auto"/>
            <w:noWrap/>
            <w:vAlign w:val="center"/>
            <w:hideMark/>
          </w:tcPr>
          <w:p w14:paraId="5F023687" w14:textId="1F1C2827" w:rsidR="00D40B05" w:rsidRPr="003B37F4" w:rsidRDefault="00D40B05" w:rsidP="00D40B05">
            <w:pPr>
              <w:widowControl/>
              <w:autoSpaceDE/>
              <w:autoSpaceDN/>
              <w:adjustRightInd/>
              <w:jc w:val="right"/>
              <w:rPr>
                <w:rFonts w:cs="Arial"/>
                <w:szCs w:val="20"/>
              </w:rPr>
            </w:pPr>
            <w:r w:rsidRPr="003B37F4">
              <w:rPr>
                <w:rFonts w:cs="Arial"/>
                <w:szCs w:val="20"/>
              </w:rPr>
              <w:t>56094</w:t>
            </w:r>
          </w:p>
        </w:tc>
      </w:tr>
      <w:tr w:rsidR="00D40B05" w:rsidRPr="003B37F4" w14:paraId="2D6B19AC" w14:textId="77777777" w:rsidTr="00313653">
        <w:trPr>
          <w:gridAfter w:val="2"/>
          <w:wAfter w:w="1217" w:type="dxa"/>
          <w:trHeight w:val="255"/>
        </w:trPr>
        <w:tc>
          <w:tcPr>
            <w:tcW w:w="3473" w:type="dxa"/>
            <w:gridSpan w:val="2"/>
            <w:tcBorders>
              <w:top w:val="nil"/>
              <w:left w:val="nil"/>
              <w:bottom w:val="nil"/>
              <w:right w:val="nil"/>
            </w:tcBorders>
            <w:shd w:val="clear" w:color="auto" w:fill="auto"/>
            <w:noWrap/>
            <w:vAlign w:val="center"/>
            <w:hideMark/>
          </w:tcPr>
          <w:p w14:paraId="63D698FF" w14:textId="77777777" w:rsidR="00D40B05" w:rsidRPr="003B37F4" w:rsidRDefault="00D40B05" w:rsidP="00D40B05">
            <w:pPr>
              <w:widowControl/>
              <w:autoSpaceDE/>
              <w:autoSpaceDN/>
              <w:adjustRightInd/>
              <w:rPr>
                <w:rFonts w:cs="Arial"/>
                <w:szCs w:val="20"/>
              </w:rPr>
            </w:pPr>
            <w:r w:rsidRPr="003B37F4">
              <w:rPr>
                <w:rFonts w:cs="Arial"/>
                <w:szCs w:val="20"/>
              </w:rPr>
              <w:t xml:space="preserve">  Other Environmental Health</w:t>
            </w:r>
          </w:p>
        </w:tc>
        <w:tc>
          <w:tcPr>
            <w:tcW w:w="1217" w:type="dxa"/>
            <w:tcBorders>
              <w:top w:val="nil"/>
              <w:left w:val="nil"/>
              <w:bottom w:val="nil"/>
              <w:right w:val="nil"/>
            </w:tcBorders>
            <w:shd w:val="clear" w:color="auto" w:fill="auto"/>
            <w:noWrap/>
            <w:vAlign w:val="bottom"/>
            <w:hideMark/>
          </w:tcPr>
          <w:p w14:paraId="3AB855AA" w14:textId="1E7A8029" w:rsidR="00D40B05" w:rsidRPr="003B37F4" w:rsidRDefault="00313653" w:rsidP="00D40B05">
            <w:pPr>
              <w:widowControl/>
              <w:autoSpaceDE/>
              <w:autoSpaceDN/>
              <w:adjustRightInd/>
              <w:jc w:val="right"/>
              <w:rPr>
                <w:rFonts w:cs="Arial"/>
                <w:szCs w:val="20"/>
              </w:rPr>
            </w:pPr>
            <w:r w:rsidRPr="003B37F4">
              <w:rPr>
                <w:rFonts w:cs="Arial"/>
                <w:szCs w:val="20"/>
              </w:rPr>
              <w:t>104076</w:t>
            </w:r>
          </w:p>
        </w:tc>
        <w:tc>
          <w:tcPr>
            <w:tcW w:w="884" w:type="dxa"/>
            <w:tcBorders>
              <w:top w:val="nil"/>
              <w:left w:val="nil"/>
              <w:bottom w:val="nil"/>
              <w:right w:val="nil"/>
            </w:tcBorders>
            <w:shd w:val="clear" w:color="auto" w:fill="auto"/>
            <w:noWrap/>
            <w:vAlign w:val="center"/>
            <w:hideMark/>
          </w:tcPr>
          <w:p w14:paraId="4CBB2B3B" w14:textId="77777777" w:rsidR="00D40B05" w:rsidRPr="003B37F4" w:rsidRDefault="00D40B05" w:rsidP="00D40B05">
            <w:pPr>
              <w:widowControl/>
              <w:autoSpaceDE/>
              <w:autoSpaceDN/>
              <w:adjustRightInd/>
              <w:rPr>
                <w:rFonts w:cs="Arial"/>
                <w:szCs w:val="20"/>
              </w:rPr>
            </w:pPr>
          </w:p>
        </w:tc>
        <w:tc>
          <w:tcPr>
            <w:tcW w:w="1217" w:type="dxa"/>
            <w:tcBorders>
              <w:top w:val="nil"/>
              <w:left w:val="nil"/>
              <w:bottom w:val="nil"/>
              <w:right w:val="nil"/>
            </w:tcBorders>
            <w:shd w:val="clear" w:color="auto" w:fill="auto"/>
            <w:noWrap/>
            <w:vAlign w:val="bottom"/>
            <w:hideMark/>
          </w:tcPr>
          <w:p w14:paraId="4376536B" w14:textId="5A1E7D88" w:rsidR="00D40B05" w:rsidRPr="003B37F4" w:rsidRDefault="00D40B05" w:rsidP="00D40B05">
            <w:pPr>
              <w:widowControl/>
              <w:autoSpaceDE/>
              <w:autoSpaceDN/>
              <w:adjustRightInd/>
              <w:jc w:val="right"/>
              <w:rPr>
                <w:rFonts w:cs="Arial"/>
                <w:szCs w:val="20"/>
              </w:rPr>
            </w:pPr>
            <w:r w:rsidRPr="003B37F4">
              <w:rPr>
                <w:rFonts w:cs="Arial"/>
                <w:szCs w:val="20"/>
              </w:rPr>
              <w:t>101045</w:t>
            </w:r>
          </w:p>
        </w:tc>
      </w:tr>
      <w:tr w:rsidR="00D40B05" w:rsidRPr="003B37F4" w14:paraId="131881B8" w14:textId="77777777" w:rsidTr="00313653">
        <w:trPr>
          <w:gridAfter w:val="2"/>
          <w:wAfter w:w="1217" w:type="dxa"/>
          <w:trHeight w:val="255"/>
        </w:trPr>
        <w:tc>
          <w:tcPr>
            <w:tcW w:w="3473" w:type="dxa"/>
            <w:gridSpan w:val="2"/>
            <w:tcBorders>
              <w:top w:val="nil"/>
              <w:left w:val="nil"/>
              <w:bottom w:val="nil"/>
              <w:right w:val="nil"/>
            </w:tcBorders>
            <w:shd w:val="clear" w:color="auto" w:fill="auto"/>
            <w:noWrap/>
            <w:vAlign w:val="center"/>
            <w:hideMark/>
          </w:tcPr>
          <w:p w14:paraId="00C4A13F" w14:textId="77777777" w:rsidR="00D40B05" w:rsidRPr="003B37F4" w:rsidRDefault="00D40B05" w:rsidP="00D40B05">
            <w:pPr>
              <w:widowControl/>
              <w:autoSpaceDE/>
              <w:autoSpaceDN/>
              <w:adjustRightInd/>
              <w:rPr>
                <w:rFonts w:cs="Arial"/>
                <w:szCs w:val="20"/>
              </w:rPr>
            </w:pPr>
            <w:r w:rsidRPr="003B37F4">
              <w:rPr>
                <w:rFonts w:cs="Arial"/>
                <w:szCs w:val="20"/>
              </w:rPr>
              <w:t>Personal Health Services</w:t>
            </w:r>
          </w:p>
        </w:tc>
        <w:tc>
          <w:tcPr>
            <w:tcW w:w="1217" w:type="dxa"/>
            <w:tcBorders>
              <w:top w:val="nil"/>
              <w:left w:val="nil"/>
              <w:bottom w:val="nil"/>
              <w:right w:val="nil"/>
            </w:tcBorders>
            <w:shd w:val="clear" w:color="auto" w:fill="auto"/>
            <w:noWrap/>
            <w:vAlign w:val="bottom"/>
            <w:hideMark/>
          </w:tcPr>
          <w:p w14:paraId="126AA57D" w14:textId="033F280E" w:rsidR="00D40B05" w:rsidRPr="003B37F4" w:rsidRDefault="00313653" w:rsidP="00D40B05">
            <w:pPr>
              <w:widowControl/>
              <w:autoSpaceDE/>
              <w:autoSpaceDN/>
              <w:adjustRightInd/>
              <w:jc w:val="right"/>
              <w:rPr>
                <w:rFonts w:cs="Arial"/>
                <w:szCs w:val="20"/>
              </w:rPr>
            </w:pPr>
            <w:r w:rsidRPr="003B37F4">
              <w:rPr>
                <w:rFonts w:cs="Arial"/>
                <w:szCs w:val="20"/>
              </w:rPr>
              <w:t>64512</w:t>
            </w:r>
          </w:p>
        </w:tc>
        <w:tc>
          <w:tcPr>
            <w:tcW w:w="884" w:type="dxa"/>
            <w:tcBorders>
              <w:top w:val="nil"/>
              <w:left w:val="nil"/>
              <w:bottom w:val="nil"/>
              <w:right w:val="nil"/>
            </w:tcBorders>
            <w:shd w:val="clear" w:color="auto" w:fill="auto"/>
            <w:noWrap/>
            <w:vAlign w:val="center"/>
            <w:hideMark/>
          </w:tcPr>
          <w:p w14:paraId="205B5759" w14:textId="77777777" w:rsidR="00D40B05" w:rsidRPr="003B37F4" w:rsidRDefault="00D40B05" w:rsidP="00D40B05">
            <w:pPr>
              <w:widowControl/>
              <w:autoSpaceDE/>
              <w:autoSpaceDN/>
              <w:adjustRightInd/>
              <w:rPr>
                <w:rFonts w:cs="Arial"/>
                <w:szCs w:val="20"/>
              </w:rPr>
            </w:pPr>
          </w:p>
        </w:tc>
        <w:tc>
          <w:tcPr>
            <w:tcW w:w="1217" w:type="dxa"/>
            <w:tcBorders>
              <w:top w:val="nil"/>
              <w:left w:val="nil"/>
              <w:bottom w:val="nil"/>
              <w:right w:val="nil"/>
            </w:tcBorders>
            <w:shd w:val="clear" w:color="auto" w:fill="auto"/>
            <w:noWrap/>
            <w:vAlign w:val="bottom"/>
            <w:hideMark/>
          </w:tcPr>
          <w:p w14:paraId="6B32B361" w14:textId="6E5A1D14" w:rsidR="00D40B05" w:rsidRPr="003B37F4" w:rsidRDefault="00D40B05" w:rsidP="00D40B05">
            <w:pPr>
              <w:widowControl/>
              <w:autoSpaceDE/>
              <w:autoSpaceDN/>
              <w:adjustRightInd/>
              <w:jc w:val="right"/>
              <w:rPr>
                <w:rFonts w:cs="Arial"/>
                <w:szCs w:val="20"/>
              </w:rPr>
            </w:pPr>
            <w:r w:rsidRPr="003B37F4">
              <w:rPr>
                <w:rFonts w:cs="Arial"/>
                <w:szCs w:val="20"/>
              </w:rPr>
              <w:t>62633</w:t>
            </w:r>
          </w:p>
        </w:tc>
      </w:tr>
      <w:tr w:rsidR="00D40B05" w:rsidRPr="003B37F4" w14:paraId="6A6D918E" w14:textId="77777777" w:rsidTr="00313653">
        <w:trPr>
          <w:gridAfter w:val="2"/>
          <w:wAfter w:w="1217" w:type="dxa"/>
          <w:trHeight w:val="255"/>
        </w:trPr>
        <w:tc>
          <w:tcPr>
            <w:tcW w:w="3473" w:type="dxa"/>
            <w:gridSpan w:val="2"/>
            <w:tcBorders>
              <w:top w:val="nil"/>
              <w:left w:val="nil"/>
              <w:bottom w:val="nil"/>
              <w:right w:val="nil"/>
            </w:tcBorders>
            <w:shd w:val="clear" w:color="auto" w:fill="auto"/>
            <w:noWrap/>
            <w:vAlign w:val="center"/>
            <w:hideMark/>
          </w:tcPr>
          <w:p w14:paraId="2E353A40" w14:textId="77777777" w:rsidR="00D40B05" w:rsidRPr="003B37F4" w:rsidRDefault="00D40B05" w:rsidP="00D40B05">
            <w:pPr>
              <w:widowControl/>
              <w:autoSpaceDE/>
              <w:autoSpaceDN/>
              <w:adjustRightInd/>
              <w:rPr>
                <w:rFonts w:cs="Arial"/>
                <w:szCs w:val="20"/>
              </w:rPr>
            </w:pPr>
            <w:r w:rsidRPr="003B37F4">
              <w:rPr>
                <w:rFonts w:cs="Arial"/>
                <w:szCs w:val="20"/>
              </w:rPr>
              <w:t>Immunizations</w:t>
            </w:r>
          </w:p>
        </w:tc>
        <w:tc>
          <w:tcPr>
            <w:tcW w:w="1217" w:type="dxa"/>
            <w:tcBorders>
              <w:top w:val="nil"/>
              <w:left w:val="nil"/>
              <w:bottom w:val="nil"/>
              <w:right w:val="nil"/>
            </w:tcBorders>
            <w:shd w:val="clear" w:color="auto" w:fill="auto"/>
            <w:noWrap/>
            <w:vAlign w:val="bottom"/>
            <w:hideMark/>
          </w:tcPr>
          <w:p w14:paraId="4B086AE3" w14:textId="0A737F3D" w:rsidR="00D40B05" w:rsidRPr="003B37F4" w:rsidRDefault="00313653" w:rsidP="00D40B05">
            <w:pPr>
              <w:widowControl/>
              <w:autoSpaceDE/>
              <w:autoSpaceDN/>
              <w:adjustRightInd/>
              <w:jc w:val="right"/>
              <w:rPr>
                <w:rFonts w:cs="Arial"/>
                <w:szCs w:val="20"/>
              </w:rPr>
            </w:pPr>
            <w:r w:rsidRPr="003B37F4">
              <w:rPr>
                <w:rFonts w:cs="Arial"/>
                <w:szCs w:val="20"/>
              </w:rPr>
              <w:t>50509</w:t>
            </w:r>
          </w:p>
        </w:tc>
        <w:tc>
          <w:tcPr>
            <w:tcW w:w="884" w:type="dxa"/>
            <w:tcBorders>
              <w:top w:val="nil"/>
              <w:left w:val="nil"/>
              <w:bottom w:val="nil"/>
              <w:right w:val="nil"/>
            </w:tcBorders>
            <w:shd w:val="clear" w:color="auto" w:fill="auto"/>
            <w:noWrap/>
            <w:vAlign w:val="center"/>
            <w:hideMark/>
          </w:tcPr>
          <w:p w14:paraId="1CF964CD" w14:textId="77777777" w:rsidR="00D40B05" w:rsidRPr="003B37F4" w:rsidRDefault="00D40B05" w:rsidP="00D40B05">
            <w:pPr>
              <w:widowControl/>
              <w:autoSpaceDE/>
              <w:autoSpaceDN/>
              <w:adjustRightInd/>
              <w:rPr>
                <w:rFonts w:cs="Arial"/>
                <w:szCs w:val="20"/>
              </w:rPr>
            </w:pPr>
          </w:p>
        </w:tc>
        <w:tc>
          <w:tcPr>
            <w:tcW w:w="1217" w:type="dxa"/>
            <w:tcBorders>
              <w:top w:val="nil"/>
              <w:left w:val="nil"/>
              <w:bottom w:val="nil"/>
              <w:right w:val="nil"/>
            </w:tcBorders>
            <w:shd w:val="clear" w:color="auto" w:fill="auto"/>
            <w:noWrap/>
            <w:vAlign w:val="bottom"/>
            <w:hideMark/>
          </w:tcPr>
          <w:p w14:paraId="269CDA40" w14:textId="1DF260EE" w:rsidR="00D40B05" w:rsidRPr="003B37F4" w:rsidRDefault="00D40B05" w:rsidP="00D40B05">
            <w:pPr>
              <w:widowControl/>
              <w:autoSpaceDE/>
              <w:autoSpaceDN/>
              <w:adjustRightInd/>
              <w:jc w:val="right"/>
              <w:rPr>
                <w:rFonts w:cs="Arial"/>
                <w:szCs w:val="20"/>
              </w:rPr>
            </w:pPr>
            <w:r w:rsidRPr="003B37F4">
              <w:rPr>
                <w:rFonts w:cs="Arial"/>
                <w:szCs w:val="20"/>
              </w:rPr>
              <w:t>49445</w:t>
            </w:r>
          </w:p>
        </w:tc>
      </w:tr>
      <w:tr w:rsidR="00D40B05" w:rsidRPr="003B37F4" w14:paraId="6BC9AD30" w14:textId="77777777" w:rsidTr="00313653">
        <w:trPr>
          <w:gridAfter w:val="2"/>
          <w:wAfter w:w="1217" w:type="dxa"/>
          <w:trHeight w:val="255"/>
        </w:trPr>
        <w:tc>
          <w:tcPr>
            <w:tcW w:w="3473" w:type="dxa"/>
            <w:gridSpan w:val="2"/>
            <w:tcBorders>
              <w:top w:val="nil"/>
              <w:left w:val="nil"/>
              <w:bottom w:val="nil"/>
              <w:right w:val="nil"/>
            </w:tcBorders>
            <w:shd w:val="clear" w:color="auto" w:fill="auto"/>
            <w:noWrap/>
            <w:vAlign w:val="center"/>
            <w:hideMark/>
          </w:tcPr>
          <w:p w14:paraId="0875D94B" w14:textId="77777777" w:rsidR="00D40B05" w:rsidRPr="003B37F4" w:rsidRDefault="00D40B05" w:rsidP="00D40B05">
            <w:pPr>
              <w:widowControl/>
              <w:autoSpaceDE/>
              <w:autoSpaceDN/>
              <w:adjustRightInd/>
              <w:rPr>
                <w:rFonts w:cs="Arial"/>
                <w:szCs w:val="20"/>
              </w:rPr>
            </w:pPr>
            <w:r w:rsidRPr="003B37F4">
              <w:rPr>
                <w:rFonts w:cs="Arial"/>
                <w:szCs w:val="20"/>
              </w:rPr>
              <w:t>Laboratory</w:t>
            </w:r>
          </w:p>
        </w:tc>
        <w:tc>
          <w:tcPr>
            <w:tcW w:w="1217" w:type="dxa"/>
            <w:tcBorders>
              <w:top w:val="nil"/>
              <w:left w:val="nil"/>
              <w:bottom w:val="nil"/>
              <w:right w:val="nil"/>
            </w:tcBorders>
            <w:shd w:val="clear" w:color="auto" w:fill="auto"/>
            <w:noWrap/>
            <w:vAlign w:val="bottom"/>
            <w:hideMark/>
          </w:tcPr>
          <w:p w14:paraId="2C1DCA85" w14:textId="45BD91CB" w:rsidR="00D40B05" w:rsidRPr="003B37F4" w:rsidRDefault="00313653" w:rsidP="00D40B05">
            <w:pPr>
              <w:widowControl/>
              <w:autoSpaceDE/>
              <w:autoSpaceDN/>
              <w:adjustRightInd/>
              <w:jc w:val="right"/>
              <w:rPr>
                <w:rFonts w:cs="Arial"/>
                <w:szCs w:val="20"/>
              </w:rPr>
            </w:pPr>
            <w:r w:rsidRPr="003B37F4">
              <w:rPr>
                <w:rFonts w:cs="Arial"/>
                <w:szCs w:val="20"/>
              </w:rPr>
              <w:t>13419</w:t>
            </w:r>
          </w:p>
        </w:tc>
        <w:tc>
          <w:tcPr>
            <w:tcW w:w="884" w:type="dxa"/>
            <w:tcBorders>
              <w:top w:val="nil"/>
              <w:left w:val="nil"/>
              <w:bottom w:val="nil"/>
              <w:right w:val="nil"/>
            </w:tcBorders>
            <w:shd w:val="clear" w:color="auto" w:fill="auto"/>
            <w:noWrap/>
            <w:vAlign w:val="center"/>
            <w:hideMark/>
          </w:tcPr>
          <w:p w14:paraId="0DEF139B" w14:textId="77777777" w:rsidR="00D40B05" w:rsidRPr="003B37F4" w:rsidRDefault="00D40B05" w:rsidP="00D40B05">
            <w:pPr>
              <w:widowControl/>
              <w:autoSpaceDE/>
              <w:autoSpaceDN/>
              <w:adjustRightInd/>
              <w:rPr>
                <w:rFonts w:cs="Arial"/>
                <w:szCs w:val="20"/>
              </w:rPr>
            </w:pPr>
          </w:p>
        </w:tc>
        <w:tc>
          <w:tcPr>
            <w:tcW w:w="1217" w:type="dxa"/>
            <w:tcBorders>
              <w:top w:val="nil"/>
              <w:left w:val="nil"/>
              <w:bottom w:val="nil"/>
              <w:right w:val="nil"/>
            </w:tcBorders>
            <w:shd w:val="clear" w:color="auto" w:fill="auto"/>
            <w:noWrap/>
            <w:vAlign w:val="bottom"/>
            <w:hideMark/>
          </w:tcPr>
          <w:p w14:paraId="27CFD922" w14:textId="3D3C97AE" w:rsidR="00D40B05" w:rsidRPr="003B37F4" w:rsidRDefault="00D40B05" w:rsidP="00D40B05">
            <w:pPr>
              <w:widowControl/>
              <w:autoSpaceDE/>
              <w:autoSpaceDN/>
              <w:adjustRightInd/>
              <w:jc w:val="right"/>
              <w:rPr>
                <w:rFonts w:cs="Arial"/>
                <w:szCs w:val="20"/>
              </w:rPr>
            </w:pPr>
            <w:r w:rsidRPr="003B37F4">
              <w:rPr>
                <w:rFonts w:cs="Arial"/>
                <w:szCs w:val="20"/>
              </w:rPr>
              <w:t>14430</w:t>
            </w:r>
          </w:p>
        </w:tc>
      </w:tr>
      <w:tr w:rsidR="00D40B05" w:rsidRPr="003B37F4" w14:paraId="5E54ADCD" w14:textId="77777777" w:rsidTr="00313653">
        <w:trPr>
          <w:gridAfter w:val="2"/>
          <w:wAfter w:w="1217" w:type="dxa"/>
          <w:trHeight w:val="255"/>
        </w:trPr>
        <w:tc>
          <w:tcPr>
            <w:tcW w:w="3251" w:type="dxa"/>
            <w:tcBorders>
              <w:top w:val="nil"/>
              <w:left w:val="nil"/>
              <w:bottom w:val="nil"/>
              <w:right w:val="nil"/>
            </w:tcBorders>
            <w:shd w:val="clear" w:color="auto" w:fill="auto"/>
            <w:noWrap/>
            <w:vAlign w:val="center"/>
            <w:hideMark/>
          </w:tcPr>
          <w:p w14:paraId="3306015A" w14:textId="77777777" w:rsidR="00D40B05" w:rsidRPr="003B37F4" w:rsidRDefault="00D40B05" w:rsidP="00D40B05">
            <w:pPr>
              <w:widowControl/>
              <w:autoSpaceDE/>
              <w:autoSpaceDN/>
              <w:adjustRightInd/>
              <w:rPr>
                <w:rFonts w:cs="Arial"/>
                <w:b/>
                <w:bCs/>
                <w:szCs w:val="20"/>
              </w:rPr>
            </w:pPr>
            <w:r w:rsidRPr="003B37F4">
              <w:rPr>
                <w:rFonts w:cs="Arial"/>
                <w:b/>
                <w:bCs/>
                <w:szCs w:val="20"/>
              </w:rPr>
              <w:t>Grants</w:t>
            </w:r>
          </w:p>
        </w:tc>
        <w:tc>
          <w:tcPr>
            <w:tcW w:w="222" w:type="dxa"/>
            <w:tcBorders>
              <w:top w:val="nil"/>
              <w:left w:val="nil"/>
              <w:bottom w:val="nil"/>
              <w:right w:val="nil"/>
            </w:tcBorders>
            <w:shd w:val="clear" w:color="auto" w:fill="auto"/>
            <w:noWrap/>
            <w:vAlign w:val="center"/>
            <w:hideMark/>
          </w:tcPr>
          <w:p w14:paraId="086E975D" w14:textId="77777777" w:rsidR="00D40B05" w:rsidRPr="003B37F4" w:rsidRDefault="00D40B05" w:rsidP="00D40B05">
            <w:pPr>
              <w:widowControl/>
              <w:autoSpaceDE/>
              <w:autoSpaceDN/>
              <w:adjustRightInd/>
              <w:rPr>
                <w:rFonts w:cs="Arial"/>
                <w:szCs w:val="20"/>
              </w:rPr>
            </w:pPr>
          </w:p>
        </w:tc>
        <w:tc>
          <w:tcPr>
            <w:tcW w:w="1217" w:type="dxa"/>
            <w:tcBorders>
              <w:top w:val="nil"/>
              <w:left w:val="nil"/>
              <w:bottom w:val="nil"/>
              <w:right w:val="nil"/>
            </w:tcBorders>
            <w:shd w:val="clear" w:color="auto" w:fill="auto"/>
            <w:noWrap/>
            <w:vAlign w:val="bottom"/>
            <w:hideMark/>
          </w:tcPr>
          <w:p w14:paraId="15B19112" w14:textId="77777777" w:rsidR="00D40B05" w:rsidRPr="003B37F4" w:rsidRDefault="00D40B05" w:rsidP="00D40B05">
            <w:pPr>
              <w:widowControl/>
              <w:autoSpaceDE/>
              <w:autoSpaceDN/>
              <w:adjustRightInd/>
              <w:rPr>
                <w:rFonts w:cs="Arial"/>
                <w:szCs w:val="20"/>
              </w:rPr>
            </w:pPr>
          </w:p>
        </w:tc>
        <w:tc>
          <w:tcPr>
            <w:tcW w:w="884" w:type="dxa"/>
            <w:tcBorders>
              <w:top w:val="nil"/>
              <w:left w:val="nil"/>
              <w:bottom w:val="nil"/>
              <w:right w:val="nil"/>
            </w:tcBorders>
            <w:shd w:val="clear" w:color="auto" w:fill="auto"/>
            <w:noWrap/>
            <w:vAlign w:val="bottom"/>
            <w:hideMark/>
          </w:tcPr>
          <w:p w14:paraId="5817218D" w14:textId="77777777" w:rsidR="00D40B05" w:rsidRPr="003B37F4" w:rsidRDefault="00D40B05" w:rsidP="00D40B05">
            <w:pPr>
              <w:widowControl/>
              <w:autoSpaceDE/>
              <w:autoSpaceDN/>
              <w:adjustRightInd/>
              <w:rPr>
                <w:rFonts w:cs="Arial"/>
                <w:szCs w:val="20"/>
              </w:rPr>
            </w:pPr>
          </w:p>
        </w:tc>
        <w:tc>
          <w:tcPr>
            <w:tcW w:w="1217" w:type="dxa"/>
            <w:tcBorders>
              <w:top w:val="nil"/>
              <w:left w:val="nil"/>
              <w:bottom w:val="nil"/>
              <w:right w:val="nil"/>
            </w:tcBorders>
            <w:shd w:val="clear" w:color="auto" w:fill="auto"/>
            <w:noWrap/>
            <w:vAlign w:val="center"/>
            <w:hideMark/>
          </w:tcPr>
          <w:p w14:paraId="0A6EF90A" w14:textId="77777777" w:rsidR="00D40B05" w:rsidRPr="003B37F4" w:rsidRDefault="00D40B05" w:rsidP="00D40B05">
            <w:pPr>
              <w:widowControl/>
              <w:autoSpaceDE/>
              <w:autoSpaceDN/>
              <w:adjustRightInd/>
              <w:jc w:val="right"/>
              <w:rPr>
                <w:rFonts w:cs="Arial"/>
                <w:szCs w:val="20"/>
              </w:rPr>
            </w:pPr>
          </w:p>
        </w:tc>
      </w:tr>
      <w:tr w:rsidR="00D40B05" w:rsidRPr="003B37F4" w14:paraId="5EAF8EEB" w14:textId="77777777" w:rsidTr="00313653">
        <w:trPr>
          <w:gridAfter w:val="2"/>
          <w:wAfter w:w="1217" w:type="dxa"/>
          <w:trHeight w:val="255"/>
        </w:trPr>
        <w:tc>
          <w:tcPr>
            <w:tcW w:w="3251" w:type="dxa"/>
            <w:tcBorders>
              <w:top w:val="nil"/>
              <w:left w:val="nil"/>
              <w:bottom w:val="nil"/>
              <w:right w:val="nil"/>
            </w:tcBorders>
            <w:shd w:val="clear" w:color="auto" w:fill="auto"/>
            <w:noWrap/>
            <w:vAlign w:val="center"/>
            <w:hideMark/>
          </w:tcPr>
          <w:p w14:paraId="719C8203" w14:textId="77777777" w:rsidR="00D40B05" w:rsidRPr="003B37F4" w:rsidRDefault="00D40B05" w:rsidP="00D40B05">
            <w:pPr>
              <w:widowControl/>
              <w:autoSpaceDE/>
              <w:autoSpaceDN/>
              <w:adjustRightInd/>
              <w:rPr>
                <w:rFonts w:cs="Arial"/>
                <w:szCs w:val="20"/>
              </w:rPr>
            </w:pPr>
            <w:r w:rsidRPr="003B37F4">
              <w:rPr>
                <w:rFonts w:cs="Arial"/>
                <w:szCs w:val="20"/>
              </w:rPr>
              <w:t xml:space="preserve">   WIC</w:t>
            </w:r>
          </w:p>
        </w:tc>
        <w:tc>
          <w:tcPr>
            <w:tcW w:w="222" w:type="dxa"/>
            <w:tcBorders>
              <w:top w:val="nil"/>
              <w:left w:val="nil"/>
              <w:bottom w:val="nil"/>
              <w:right w:val="nil"/>
            </w:tcBorders>
            <w:shd w:val="clear" w:color="auto" w:fill="auto"/>
            <w:noWrap/>
            <w:vAlign w:val="center"/>
            <w:hideMark/>
          </w:tcPr>
          <w:p w14:paraId="1C34A68D" w14:textId="77777777" w:rsidR="00D40B05" w:rsidRPr="003B37F4" w:rsidRDefault="00D40B05" w:rsidP="00D40B05">
            <w:pPr>
              <w:widowControl/>
              <w:autoSpaceDE/>
              <w:autoSpaceDN/>
              <w:adjustRightInd/>
              <w:rPr>
                <w:rFonts w:cs="Arial"/>
                <w:szCs w:val="20"/>
              </w:rPr>
            </w:pPr>
          </w:p>
        </w:tc>
        <w:tc>
          <w:tcPr>
            <w:tcW w:w="1217" w:type="dxa"/>
            <w:tcBorders>
              <w:top w:val="nil"/>
              <w:left w:val="nil"/>
              <w:bottom w:val="nil"/>
              <w:right w:val="nil"/>
            </w:tcBorders>
            <w:shd w:val="clear" w:color="auto" w:fill="auto"/>
            <w:noWrap/>
            <w:vAlign w:val="bottom"/>
            <w:hideMark/>
          </w:tcPr>
          <w:p w14:paraId="2AE633A2" w14:textId="1EB3B72C" w:rsidR="00D40B05" w:rsidRPr="003B37F4" w:rsidRDefault="00313653" w:rsidP="00D40B05">
            <w:pPr>
              <w:widowControl/>
              <w:autoSpaceDE/>
              <w:autoSpaceDN/>
              <w:adjustRightInd/>
              <w:jc w:val="right"/>
              <w:rPr>
                <w:rFonts w:cs="Arial"/>
                <w:szCs w:val="20"/>
              </w:rPr>
            </w:pPr>
            <w:r w:rsidRPr="003B37F4">
              <w:rPr>
                <w:rFonts w:cs="Arial"/>
                <w:szCs w:val="20"/>
              </w:rPr>
              <w:t>157355</w:t>
            </w:r>
          </w:p>
        </w:tc>
        <w:tc>
          <w:tcPr>
            <w:tcW w:w="884" w:type="dxa"/>
            <w:tcBorders>
              <w:top w:val="nil"/>
              <w:left w:val="nil"/>
              <w:bottom w:val="nil"/>
              <w:right w:val="nil"/>
            </w:tcBorders>
            <w:shd w:val="clear" w:color="auto" w:fill="auto"/>
            <w:noWrap/>
            <w:vAlign w:val="bottom"/>
            <w:hideMark/>
          </w:tcPr>
          <w:p w14:paraId="5C57A178" w14:textId="47675F67" w:rsidR="00D40B05" w:rsidRPr="003B37F4" w:rsidRDefault="00D40B05" w:rsidP="00D40B05">
            <w:pPr>
              <w:widowControl/>
              <w:autoSpaceDE/>
              <w:autoSpaceDN/>
              <w:adjustRightInd/>
              <w:jc w:val="right"/>
              <w:rPr>
                <w:rFonts w:cs="Arial"/>
                <w:szCs w:val="20"/>
              </w:rPr>
            </w:pPr>
          </w:p>
        </w:tc>
        <w:tc>
          <w:tcPr>
            <w:tcW w:w="1217" w:type="dxa"/>
            <w:tcBorders>
              <w:top w:val="nil"/>
              <w:left w:val="nil"/>
              <w:bottom w:val="nil"/>
              <w:right w:val="nil"/>
            </w:tcBorders>
            <w:shd w:val="clear" w:color="auto" w:fill="auto"/>
            <w:noWrap/>
            <w:vAlign w:val="center"/>
            <w:hideMark/>
          </w:tcPr>
          <w:p w14:paraId="28DA6DB5" w14:textId="68CDC591" w:rsidR="00D40B05" w:rsidRPr="003B37F4" w:rsidRDefault="00D40B05" w:rsidP="00D40B05">
            <w:pPr>
              <w:widowControl/>
              <w:autoSpaceDE/>
              <w:autoSpaceDN/>
              <w:adjustRightInd/>
              <w:jc w:val="right"/>
              <w:rPr>
                <w:rFonts w:cs="Arial"/>
                <w:szCs w:val="20"/>
              </w:rPr>
            </w:pPr>
            <w:r w:rsidRPr="003B37F4">
              <w:rPr>
                <w:rFonts w:cs="Arial"/>
                <w:szCs w:val="20"/>
              </w:rPr>
              <w:t>175447</w:t>
            </w:r>
          </w:p>
        </w:tc>
      </w:tr>
      <w:tr w:rsidR="00D40B05" w:rsidRPr="003B37F4" w14:paraId="4C131185" w14:textId="77777777" w:rsidTr="00313653">
        <w:trPr>
          <w:gridAfter w:val="2"/>
          <w:wAfter w:w="1217" w:type="dxa"/>
          <w:trHeight w:val="255"/>
        </w:trPr>
        <w:tc>
          <w:tcPr>
            <w:tcW w:w="3251" w:type="dxa"/>
            <w:tcBorders>
              <w:top w:val="nil"/>
              <w:left w:val="nil"/>
              <w:bottom w:val="nil"/>
              <w:right w:val="nil"/>
            </w:tcBorders>
            <w:shd w:val="clear" w:color="auto" w:fill="auto"/>
            <w:noWrap/>
            <w:vAlign w:val="center"/>
            <w:hideMark/>
          </w:tcPr>
          <w:p w14:paraId="100AC93B" w14:textId="16B5C588" w:rsidR="00D40B05" w:rsidRPr="003B37F4" w:rsidRDefault="00D40B05" w:rsidP="00D40B05">
            <w:pPr>
              <w:widowControl/>
              <w:autoSpaceDE/>
              <w:autoSpaceDN/>
              <w:adjustRightInd/>
              <w:rPr>
                <w:rFonts w:cs="Arial"/>
                <w:szCs w:val="20"/>
              </w:rPr>
            </w:pPr>
            <w:r w:rsidRPr="003B37F4">
              <w:rPr>
                <w:rFonts w:cs="Arial"/>
                <w:szCs w:val="20"/>
              </w:rPr>
              <w:t xml:space="preserve">   GVO</w:t>
            </w:r>
          </w:p>
        </w:tc>
        <w:tc>
          <w:tcPr>
            <w:tcW w:w="222" w:type="dxa"/>
            <w:tcBorders>
              <w:top w:val="nil"/>
              <w:left w:val="nil"/>
              <w:bottom w:val="nil"/>
              <w:right w:val="nil"/>
            </w:tcBorders>
            <w:shd w:val="clear" w:color="auto" w:fill="auto"/>
            <w:noWrap/>
            <w:vAlign w:val="center"/>
            <w:hideMark/>
          </w:tcPr>
          <w:p w14:paraId="08D69994" w14:textId="77777777" w:rsidR="00D40B05" w:rsidRPr="003B37F4" w:rsidRDefault="00D40B05" w:rsidP="00D40B05">
            <w:pPr>
              <w:widowControl/>
              <w:autoSpaceDE/>
              <w:autoSpaceDN/>
              <w:adjustRightInd/>
              <w:rPr>
                <w:rFonts w:cs="Arial"/>
                <w:szCs w:val="20"/>
              </w:rPr>
            </w:pPr>
          </w:p>
        </w:tc>
        <w:tc>
          <w:tcPr>
            <w:tcW w:w="1217" w:type="dxa"/>
            <w:tcBorders>
              <w:top w:val="nil"/>
              <w:left w:val="nil"/>
              <w:bottom w:val="nil"/>
              <w:right w:val="nil"/>
            </w:tcBorders>
            <w:shd w:val="clear" w:color="auto" w:fill="auto"/>
            <w:noWrap/>
            <w:vAlign w:val="bottom"/>
            <w:hideMark/>
          </w:tcPr>
          <w:p w14:paraId="2BCE7EA3" w14:textId="0801543A" w:rsidR="00D40B05" w:rsidRPr="003B37F4" w:rsidRDefault="00313653" w:rsidP="00D40B05">
            <w:pPr>
              <w:widowControl/>
              <w:autoSpaceDE/>
              <w:autoSpaceDN/>
              <w:adjustRightInd/>
              <w:jc w:val="right"/>
              <w:rPr>
                <w:rFonts w:cs="Arial"/>
                <w:szCs w:val="20"/>
              </w:rPr>
            </w:pPr>
            <w:r w:rsidRPr="003B37F4">
              <w:rPr>
                <w:rFonts w:cs="Arial"/>
                <w:szCs w:val="20"/>
              </w:rPr>
              <w:t>17034</w:t>
            </w:r>
          </w:p>
        </w:tc>
        <w:tc>
          <w:tcPr>
            <w:tcW w:w="884" w:type="dxa"/>
            <w:tcBorders>
              <w:top w:val="nil"/>
              <w:left w:val="nil"/>
              <w:bottom w:val="nil"/>
              <w:right w:val="nil"/>
            </w:tcBorders>
            <w:shd w:val="clear" w:color="auto" w:fill="auto"/>
            <w:noWrap/>
            <w:vAlign w:val="bottom"/>
            <w:hideMark/>
          </w:tcPr>
          <w:p w14:paraId="2BDCEBB6" w14:textId="63C3D805" w:rsidR="00D40B05" w:rsidRPr="003B37F4" w:rsidRDefault="00D40B05" w:rsidP="00D40B05">
            <w:pPr>
              <w:widowControl/>
              <w:autoSpaceDE/>
              <w:autoSpaceDN/>
              <w:adjustRightInd/>
              <w:jc w:val="right"/>
              <w:rPr>
                <w:rFonts w:cs="Arial"/>
                <w:szCs w:val="20"/>
              </w:rPr>
            </w:pPr>
          </w:p>
        </w:tc>
        <w:tc>
          <w:tcPr>
            <w:tcW w:w="1217" w:type="dxa"/>
            <w:tcBorders>
              <w:top w:val="nil"/>
              <w:left w:val="nil"/>
              <w:bottom w:val="nil"/>
              <w:right w:val="nil"/>
            </w:tcBorders>
            <w:shd w:val="clear" w:color="auto" w:fill="auto"/>
            <w:noWrap/>
            <w:vAlign w:val="center"/>
            <w:hideMark/>
          </w:tcPr>
          <w:p w14:paraId="554B7D4F" w14:textId="1AF43F6C" w:rsidR="00D40B05" w:rsidRPr="003B37F4" w:rsidRDefault="00D40B05" w:rsidP="00D40B05">
            <w:pPr>
              <w:widowControl/>
              <w:autoSpaceDE/>
              <w:autoSpaceDN/>
              <w:adjustRightInd/>
              <w:jc w:val="right"/>
              <w:rPr>
                <w:rFonts w:cs="Arial"/>
                <w:szCs w:val="20"/>
              </w:rPr>
            </w:pPr>
            <w:r w:rsidRPr="003B37F4">
              <w:rPr>
                <w:rFonts w:cs="Arial"/>
                <w:szCs w:val="20"/>
              </w:rPr>
              <w:t>13122</w:t>
            </w:r>
          </w:p>
        </w:tc>
      </w:tr>
      <w:tr w:rsidR="00313653" w:rsidRPr="003B37F4" w14:paraId="69765631" w14:textId="77777777" w:rsidTr="00313653">
        <w:trPr>
          <w:gridAfter w:val="2"/>
          <w:wAfter w:w="1217" w:type="dxa"/>
          <w:trHeight w:val="255"/>
        </w:trPr>
        <w:tc>
          <w:tcPr>
            <w:tcW w:w="3251" w:type="dxa"/>
            <w:tcBorders>
              <w:top w:val="nil"/>
              <w:left w:val="nil"/>
              <w:bottom w:val="nil"/>
              <w:right w:val="nil"/>
            </w:tcBorders>
            <w:shd w:val="clear" w:color="auto" w:fill="auto"/>
            <w:noWrap/>
            <w:vAlign w:val="center"/>
            <w:hideMark/>
          </w:tcPr>
          <w:p w14:paraId="129402A5" w14:textId="2830E8FD" w:rsidR="00313653" w:rsidRPr="003B37F4" w:rsidRDefault="00313653" w:rsidP="00D40B05">
            <w:pPr>
              <w:widowControl/>
              <w:autoSpaceDE/>
              <w:autoSpaceDN/>
              <w:adjustRightInd/>
              <w:rPr>
                <w:rFonts w:cs="Arial"/>
                <w:szCs w:val="20"/>
              </w:rPr>
            </w:pPr>
            <w:r w:rsidRPr="003B37F4">
              <w:rPr>
                <w:rFonts w:cs="Arial"/>
                <w:szCs w:val="20"/>
              </w:rPr>
              <w:t xml:space="preserve">   Public Health Emergency </w:t>
            </w:r>
          </w:p>
        </w:tc>
        <w:tc>
          <w:tcPr>
            <w:tcW w:w="222" w:type="dxa"/>
            <w:tcBorders>
              <w:top w:val="nil"/>
              <w:left w:val="nil"/>
              <w:bottom w:val="nil"/>
              <w:right w:val="nil"/>
            </w:tcBorders>
            <w:shd w:val="clear" w:color="auto" w:fill="auto"/>
            <w:noWrap/>
            <w:vAlign w:val="center"/>
            <w:hideMark/>
          </w:tcPr>
          <w:p w14:paraId="533639EC" w14:textId="77777777" w:rsidR="00313653" w:rsidRPr="003B37F4" w:rsidRDefault="00313653" w:rsidP="00D40B05">
            <w:pPr>
              <w:widowControl/>
              <w:autoSpaceDE/>
              <w:autoSpaceDN/>
              <w:adjustRightInd/>
              <w:rPr>
                <w:rFonts w:cs="Arial"/>
                <w:szCs w:val="20"/>
              </w:rPr>
            </w:pPr>
          </w:p>
        </w:tc>
        <w:tc>
          <w:tcPr>
            <w:tcW w:w="1217" w:type="dxa"/>
            <w:tcBorders>
              <w:top w:val="nil"/>
              <w:left w:val="nil"/>
              <w:bottom w:val="nil"/>
              <w:right w:val="nil"/>
            </w:tcBorders>
            <w:shd w:val="clear" w:color="auto" w:fill="auto"/>
            <w:noWrap/>
            <w:vAlign w:val="bottom"/>
            <w:hideMark/>
          </w:tcPr>
          <w:p w14:paraId="62590599" w14:textId="42CB2981" w:rsidR="00313653" w:rsidRPr="003B37F4" w:rsidRDefault="00313653" w:rsidP="00D40B05">
            <w:pPr>
              <w:widowControl/>
              <w:autoSpaceDE/>
              <w:autoSpaceDN/>
              <w:adjustRightInd/>
              <w:jc w:val="right"/>
              <w:rPr>
                <w:rFonts w:cs="Arial"/>
                <w:szCs w:val="20"/>
              </w:rPr>
            </w:pPr>
            <w:r w:rsidRPr="003B37F4">
              <w:rPr>
                <w:rFonts w:cs="Arial"/>
                <w:szCs w:val="20"/>
              </w:rPr>
              <w:t>79799</w:t>
            </w:r>
          </w:p>
        </w:tc>
        <w:tc>
          <w:tcPr>
            <w:tcW w:w="884" w:type="dxa"/>
            <w:tcBorders>
              <w:top w:val="nil"/>
              <w:left w:val="nil"/>
              <w:bottom w:val="nil"/>
              <w:right w:val="nil"/>
            </w:tcBorders>
            <w:shd w:val="clear" w:color="auto" w:fill="auto"/>
            <w:noWrap/>
            <w:vAlign w:val="bottom"/>
            <w:hideMark/>
          </w:tcPr>
          <w:p w14:paraId="0C38A9E2" w14:textId="6B431D58" w:rsidR="00313653" w:rsidRPr="003B37F4" w:rsidRDefault="00313653" w:rsidP="00D40B05">
            <w:pPr>
              <w:widowControl/>
              <w:autoSpaceDE/>
              <w:autoSpaceDN/>
              <w:adjustRightInd/>
              <w:jc w:val="right"/>
              <w:rPr>
                <w:rFonts w:cs="Arial"/>
                <w:szCs w:val="20"/>
              </w:rPr>
            </w:pPr>
          </w:p>
        </w:tc>
        <w:tc>
          <w:tcPr>
            <w:tcW w:w="1217" w:type="dxa"/>
            <w:tcBorders>
              <w:top w:val="nil"/>
              <w:left w:val="nil"/>
              <w:bottom w:val="nil"/>
              <w:right w:val="nil"/>
            </w:tcBorders>
            <w:shd w:val="clear" w:color="auto" w:fill="auto"/>
            <w:noWrap/>
            <w:vAlign w:val="center"/>
            <w:hideMark/>
          </w:tcPr>
          <w:p w14:paraId="74D9FAC5" w14:textId="44E19621" w:rsidR="00313653" w:rsidRPr="003B37F4" w:rsidRDefault="00313653" w:rsidP="00D40B05">
            <w:pPr>
              <w:widowControl/>
              <w:autoSpaceDE/>
              <w:autoSpaceDN/>
              <w:adjustRightInd/>
              <w:jc w:val="right"/>
              <w:rPr>
                <w:rFonts w:cs="Arial"/>
                <w:szCs w:val="20"/>
              </w:rPr>
            </w:pPr>
            <w:r w:rsidRPr="003B37F4">
              <w:rPr>
                <w:rFonts w:cs="Arial"/>
                <w:szCs w:val="20"/>
              </w:rPr>
              <w:t>76661</w:t>
            </w:r>
          </w:p>
        </w:tc>
      </w:tr>
      <w:tr w:rsidR="00313653" w:rsidRPr="003B37F4" w14:paraId="33BC0D76" w14:textId="77777777" w:rsidTr="00313653">
        <w:trPr>
          <w:gridAfter w:val="2"/>
          <w:wAfter w:w="1217" w:type="dxa"/>
          <w:trHeight w:val="255"/>
        </w:trPr>
        <w:tc>
          <w:tcPr>
            <w:tcW w:w="3251" w:type="dxa"/>
            <w:tcBorders>
              <w:top w:val="nil"/>
              <w:left w:val="nil"/>
              <w:bottom w:val="nil"/>
              <w:right w:val="nil"/>
            </w:tcBorders>
            <w:shd w:val="clear" w:color="auto" w:fill="auto"/>
            <w:noWrap/>
            <w:vAlign w:val="center"/>
            <w:hideMark/>
          </w:tcPr>
          <w:p w14:paraId="7BD5951A" w14:textId="1E65E9EA" w:rsidR="00313653" w:rsidRPr="003B37F4" w:rsidRDefault="00313653" w:rsidP="00D40B05">
            <w:pPr>
              <w:widowControl/>
              <w:autoSpaceDE/>
              <w:autoSpaceDN/>
              <w:adjustRightInd/>
              <w:rPr>
                <w:rFonts w:cs="Arial"/>
                <w:szCs w:val="20"/>
              </w:rPr>
            </w:pPr>
            <w:r w:rsidRPr="003B37F4">
              <w:rPr>
                <w:rFonts w:cs="Arial"/>
                <w:szCs w:val="20"/>
              </w:rPr>
              <w:t xml:space="preserve">        Preparedness</w:t>
            </w:r>
          </w:p>
        </w:tc>
        <w:tc>
          <w:tcPr>
            <w:tcW w:w="222" w:type="dxa"/>
            <w:vMerge w:val="restart"/>
            <w:tcBorders>
              <w:top w:val="nil"/>
              <w:left w:val="nil"/>
              <w:bottom w:val="nil"/>
              <w:right w:val="nil"/>
            </w:tcBorders>
            <w:noWrap/>
            <w:vAlign w:val="center"/>
            <w:hideMark/>
          </w:tcPr>
          <w:p w14:paraId="32943E90" w14:textId="77777777" w:rsidR="00313653" w:rsidRPr="003B37F4" w:rsidRDefault="00313653" w:rsidP="00D40B05">
            <w:pPr>
              <w:widowControl/>
              <w:autoSpaceDE/>
              <w:autoSpaceDN/>
              <w:adjustRightInd/>
              <w:rPr>
                <w:rFonts w:cs="Arial"/>
                <w:szCs w:val="20"/>
              </w:rPr>
            </w:pPr>
          </w:p>
          <w:p w14:paraId="4BC5F796" w14:textId="31415630" w:rsidR="00313653" w:rsidRPr="003B37F4" w:rsidRDefault="00313653" w:rsidP="00D40B05">
            <w:pPr>
              <w:widowControl/>
              <w:autoSpaceDE/>
              <w:autoSpaceDN/>
              <w:adjustRightInd/>
              <w:rPr>
                <w:rFonts w:cs="Arial"/>
                <w:szCs w:val="20"/>
              </w:rPr>
            </w:pPr>
          </w:p>
        </w:tc>
        <w:tc>
          <w:tcPr>
            <w:tcW w:w="1217" w:type="dxa"/>
            <w:vMerge w:val="restart"/>
            <w:tcBorders>
              <w:top w:val="nil"/>
              <w:left w:val="nil"/>
              <w:bottom w:val="nil"/>
              <w:right w:val="nil"/>
            </w:tcBorders>
            <w:noWrap/>
            <w:vAlign w:val="center"/>
            <w:hideMark/>
          </w:tcPr>
          <w:p w14:paraId="7BFF5A40" w14:textId="77777777" w:rsidR="00313653" w:rsidRPr="003B37F4" w:rsidRDefault="00313653" w:rsidP="00D40B05">
            <w:pPr>
              <w:widowControl/>
              <w:autoSpaceDE/>
              <w:autoSpaceDN/>
              <w:adjustRightInd/>
              <w:jc w:val="center"/>
              <w:rPr>
                <w:rFonts w:cs="Arial"/>
                <w:szCs w:val="20"/>
              </w:rPr>
            </w:pPr>
            <w:r w:rsidRPr="003B37F4">
              <w:rPr>
                <w:rFonts w:cs="Arial"/>
                <w:szCs w:val="20"/>
              </w:rPr>
              <w:t>79799</w:t>
            </w:r>
          </w:p>
          <w:p w14:paraId="04B81A20" w14:textId="0E365525" w:rsidR="00313653" w:rsidRPr="003B37F4" w:rsidRDefault="00313653" w:rsidP="00D40B05">
            <w:pPr>
              <w:widowControl/>
              <w:autoSpaceDE/>
              <w:autoSpaceDN/>
              <w:adjustRightInd/>
              <w:jc w:val="center"/>
              <w:rPr>
                <w:rFonts w:cs="Arial"/>
                <w:szCs w:val="20"/>
              </w:rPr>
            </w:pPr>
            <w:r w:rsidRPr="003B37F4">
              <w:rPr>
                <w:rFonts w:cs="Arial"/>
                <w:szCs w:val="20"/>
              </w:rPr>
              <w:t>0</w:t>
            </w:r>
          </w:p>
        </w:tc>
        <w:tc>
          <w:tcPr>
            <w:tcW w:w="884" w:type="dxa"/>
            <w:vMerge w:val="restart"/>
            <w:tcBorders>
              <w:top w:val="nil"/>
              <w:left w:val="nil"/>
              <w:bottom w:val="nil"/>
              <w:right w:val="nil"/>
            </w:tcBorders>
            <w:noWrap/>
            <w:vAlign w:val="center"/>
            <w:hideMark/>
          </w:tcPr>
          <w:p w14:paraId="572643C4" w14:textId="77777777" w:rsidR="00313653" w:rsidRPr="003B37F4" w:rsidRDefault="00313653" w:rsidP="00D40B05">
            <w:pPr>
              <w:widowControl/>
              <w:autoSpaceDE/>
              <w:autoSpaceDN/>
              <w:adjustRightInd/>
              <w:jc w:val="center"/>
              <w:rPr>
                <w:rFonts w:cs="Arial"/>
                <w:szCs w:val="20"/>
              </w:rPr>
            </w:pPr>
          </w:p>
          <w:p w14:paraId="25CEEEEE" w14:textId="556D24B6" w:rsidR="00313653" w:rsidRPr="003B37F4" w:rsidRDefault="00313653" w:rsidP="00D40B05">
            <w:pPr>
              <w:widowControl/>
              <w:autoSpaceDE/>
              <w:autoSpaceDN/>
              <w:adjustRightInd/>
              <w:jc w:val="center"/>
              <w:rPr>
                <w:rFonts w:cs="Arial"/>
                <w:szCs w:val="20"/>
              </w:rPr>
            </w:pPr>
          </w:p>
        </w:tc>
        <w:tc>
          <w:tcPr>
            <w:tcW w:w="1217" w:type="dxa"/>
            <w:vMerge w:val="restart"/>
            <w:tcBorders>
              <w:top w:val="nil"/>
              <w:left w:val="nil"/>
              <w:bottom w:val="nil"/>
              <w:right w:val="nil"/>
            </w:tcBorders>
            <w:noWrap/>
            <w:vAlign w:val="center"/>
            <w:hideMark/>
          </w:tcPr>
          <w:p w14:paraId="6803802A" w14:textId="77777777" w:rsidR="00313653" w:rsidRPr="003B37F4" w:rsidRDefault="00313653" w:rsidP="00D40B05">
            <w:pPr>
              <w:widowControl/>
              <w:autoSpaceDE/>
              <w:autoSpaceDN/>
              <w:adjustRightInd/>
              <w:jc w:val="right"/>
              <w:rPr>
                <w:rFonts w:cs="Arial"/>
                <w:szCs w:val="20"/>
              </w:rPr>
            </w:pPr>
            <w:r w:rsidRPr="003B37F4">
              <w:rPr>
                <w:rFonts w:cs="Arial"/>
                <w:szCs w:val="20"/>
              </w:rPr>
              <w:t>76661</w:t>
            </w:r>
          </w:p>
          <w:p w14:paraId="0EB0E7DF" w14:textId="6958C22B" w:rsidR="00313653" w:rsidRPr="003B37F4" w:rsidRDefault="00313653" w:rsidP="00D40B05">
            <w:pPr>
              <w:widowControl/>
              <w:autoSpaceDE/>
              <w:autoSpaceDN/>
              <w:adjustRightInd/>
              <w:jc w:val="right"/>
              <w:rPr>
                <w:rFonts w:cs="Arial"/>
                <w:szCs w:val="20"/>
              </w:rPr>
            </w:pPr>
            <w:r w:rsidRPr="003B37F4">
              <w:rPr>
                <w:rFonts w:cs="Arial"/>
                <w:szCs w:val="20"/>
              </w:rPr>
              <w:t>0</w:t>
            </w:r>
          </w:p>
        </w:tc>
      </w:tr>
      <w:tr w:rsidR="00313653" w:rsidRPr="003B37F4" w14:paraId="06224DA5" w14:textId="77777777" w:rsidTr="00313653">
        <w:trPr>
          <w:gridAfter w:val="2"/>
          <w:wAfter w:w="1217" w:type="dxa"/>
          <w:trHeight w:val="255"/>
        </w:trPr>
        <w:tc>
          <w:tcPr>
            <w:tcW w:w="3251" w:type="dxa"/>
            <w:tcBorders>
              <w:top w:val="nil"/>
              <w:left w:val="nil"/>
              <w:bottom w:val="nil"/>
              <w:right w:val="nil"/>
            </w:tcBorders>
            <w:shd w:val="clear" w:color="auto" w:fill="auto"/>
            <w:noWrap/>
            <w:vAlign w:val="center"/>
            <w:hideMark/>
          </w:tcPr>
          <w:p w14:paraId="505D2B3A" w14:textId="093AD671" w:rsidR="00313653" w:rsidRPr="003B37F4" w:rsidRDefault="00313653" w:rsidP="00D40B05">
            <w:pPr>
              <w:widowControl/>
              <w:autoSpaceDE/>
              <w:autoSpaceDN/>
              <w:adjustRightInd/>
              <w:rPr>
                <w:rFonts w:cs="Arial"/>
                <w:szCs w:val="20"/>
              </w:rPr>
            </w:pPr>
            <w:r w:rsidRPr="003B37F4">
              <w:rPr>
                <w:rFonts w:cs="Arial"/>
                <w:szCs w:val="20"/>
              </w:rPr>
              <w:t xml:space="preserve">  Zika</w:t>
            </w:r>
          </w:p>
        </w:tc>
        <w:tc>
          <w:tcPr>
            <w:tcW w:w="222" w:type="dxa"/>
            <w:vMerge/>
            <w:tcBorders>
              <w:top w:val="nil"/>
              <w:left w:val="nil"/>
              <w:bottom w:val="nil"/>
              <w:right w:val="nil"/>
            </w:tcBorders>
            <w:shd w:val="clear" w:color="auto" w:fill="auto"/>
            <w:vAlign w:val="center"/>
            <w:hideMark/>
          </w:tcPr>
          <w:p w14:paraId="2150353A" w14:textId="77777777" w:rsidR="00313653" w:rsidRPr="003B37F4" w:rsidRDefault="00313653" w:rsidP="00D40B05">
            <w:pPr>
              <w:widowControl/>
              <w:autoSpaceDE/>
              <w:autoSpaceDN/>
              <w:adjustRightInd/>
              <w:rPr>
                <w:rFonts w:cs="Arial"/>
                <w:szCs w:val="20"/>
              </w:rPr>
            </w:pPr>
          </w:p>
        </w:tc>
        <w:tc>
          <w:tcPr>
            <w:tcW w:w="1217" w:type="dxa"/>
            <w:vMerge/>
            <w:tcBorders>
              <w:top w:val="nil"/>
              <w:left w:val="nil"/>
              <w:bottom w:val="nil"/>
              <w:right w:val="nil"/>
            </w:tcBorders>
            <w:shd w:val="clear" w:color="auto" w:fill="auto"/>
            <w:vAlign w:val="bottom"/>
            <w:hideMark/>
          </w:tcPr>
          <w:p w14:paraId="1D16ADCA" w14:textId="77777777" w:rsidR="00313653" w:rsidRPr="003B37F4" w:rsidRDefault="00313653" w:rsidP="00D40B05">
            <w:pPr>
              <w:widowControl/>
              <w:autoSpaceDE/>
              <w:autoSpaceDN/>
              <w:adjustRightInd/>
              <w:rPr>
                <w:rFonts w:cs="Arial"/>
                <w:szCs w:val="20"/>
              </w:rPr>
            </w:pPr>
          </w:p>
        </w:tc>
        <w:tc>
          <w:tcPr>
            <w:tcW w:w="884" w:type="dxa"/>
            <w:vMerge/>
            <w:tcBorders>
              <w:top w:val="nil"/>
              <w:left w:val="nil"/>
              <w:bottom w:val="nil"/>
              <w:right w:val="nil"/>
            </w:tcBorders>
            <w:shd w:val="clear" w:color="auto" w:fill="auto"/>
            <w:vAlign w:val="bottom"/>
            <w:hideMark/>
          </w:tcPr>
          <w:p w14:paraId="0A15EF4F" w14:textId="77777777" w:rsidR="00313653" w:rsidRPr="003B37F4" w:rsidRDefault="00313653" w:rsidP="00D40B05">
            <w:pPr>
              <w:widowControl/>
              <w:autoSpaceDE/>
              <w:autoSpaceDN/>
              <w:adjustRightInd/>
              <w:rPr>
                <w:rFonts w:cs="Arial"/>
                <w:szCs w:val="20"/>
              </w:rPr>
            </w:pPr>
          </w:p>
        </w:tc>
        <w:tc>
          <w:tcPr>
            <w:tcW w:w="1217" w:type="dxa"/>
            <w:vMerge/>
            <w:tcBorders>
              <w:top w:val="nil"/>
              <w:left w:val="nil"/>
              <w:bottom w:val="nil"/>
              <w:right w:val="nil"/>
            </w:tcBorders>
            <w:shd w:val="clear" w:color="auto" w:fill="auto"/>
            <w:vAlign w:val="center"/>
            <w:hideMark/>
          </w:tcPr>
          <w:p w14:paraId="068A63C6" w14:textId="77777777" w:rsidR="00313653" w:rsidRPr="003B37F4" w:rsidRDefault="00313653" w:rsidP="00D40B05">
            <w:pPr>
              <w:widowControl/>
              <w:autoSpaceDE/>
              <w:autoSpaceDN/>
              <w:adjustRightInd/>
              <w:rPr>
                <w:rFonts w:cs="Arial"/>
                <w:szCs w:val="20"/>
              </w:rPr>
            </w:pPr>
          </w:p>
        </w:tc>
      </w:tr>
      <w:tr w:rsidR="00313653" w:rsidRPr="003B37F4" w14:paraId="2EEE2655" w14:textId="77777777" w:rsidTr="00313653">
        <w:trPr>
          <w:gridAfter w:val="2"/>
          <w:wAfter w:w="1217" w:type="dxa"/>
          <w:trHeight w:val="255"/>
        </w:trPr>
        <w:tc>
          <w:tcPr>
            <w:tcW w:w="3251" w:type="dxa"/>
            <w:tcBorders>
              <w:top w:val="nil"/>
              <w:left w:val="nil"/>
              <w:bottom w:val="nil"/>
              <w:right w:val="nil"/>
            </w:tcBorders>
            <w:shd w:val="clear" w:color="auto" w:fill="auto"/>
            <w:noWrap/>
            <w:vAlign w:val="center"/>
            <w:hideMark/>
          </w:tcPr>
          <w:p w14:paraId="6D095495" w14:textId="4BB12014" w:rsidR="00313653" w:rsidRPr="003B37F4" w:rsidRDefault="00313653" w:rsidP="00D40B05">
            <w:pPr>
              <w:widowControl/>
              <w:autoSpaceDE/>
              <w:autoSpaceDN/>
              <w:adjustRightInd/>
              <w:rPr>
                <w:rFonts w:cs="Arial"/>
                <w:szCs w:val="20"/>
              </w:rPr>
            </w:pPr>
            <w:r w:rsidRPr="003B37F4">
              <w:rPr>
                <w:rFonts w:cs="Arial"/>
                <w:szCs w:val="20"/>
              </w:rPr>
              <w:t>COVID</w:t>
            </w:r>
          </w:p>
        </w:tc>
        <w:tc>
          <w:tcPr>
            <w:tcW w:w="222" w:type="dxa"/>
            <w:tcBorders>
              <w:top w:val="nil"/>
              <w:left w:val="nil"/>
              <w:bottom w:val="nil"/>
              <w:right w:val="nil"/>
            </w:tcBorders>
            <w:shd w:val="clear" w:color="auto" w:fill="auto"/>
            <w:noWrap/>
            <w:vAlign w:val="bottom"/>
            <w:hideMark/>
          </w:tcPr>
          <w:p w14:paraId="19FEC753" w14:textId="65288BC3" w:rsidR="00313653" w:rsidRPr="003B37F4" w:rsidRDefault="00313653" w:rsidP="00D40B05">
            <w:pPr>
              <w:widowControl/>
              <w:autoSpaceDE/>
              <w:autoSpaceDN/>
              <w:adjustRightInd/>
              <w:rPr>
                <w:rFonts w:cs="Arial"/>
                <w:szCs w:val="20"/>
              </w:rPr>
            </w:pPr>
            <w:r w:rsidRPr="003B37F4">
              <w:rPr>
                <w:rFonts w:cs="Arial"/>
                <w:szCs w:val="20"/>
              </w:rPr>
              <w:t>617591</w:t>
            </w:r>
          </w:p>
        </w:tc>
        <w:tc>
          <w:tcPr>
            <w:tcW w:w="1217" w:type="dxa"/>
            <w:tcBorders>
              <w:top w:val="nil"/>
              <w:left w:val="nil"/>
              <w:bottom w:val="nil"/>
              <w:right w:val="nil"/>
            </w:tcBorders>
            <w:shd w:val="clear" w:color="auto" w:fill="auto"/>
            <w:noWrap/>
            <w:vAlign w:val="center"/>
            <w:hideMark/>
          </w:tcPr>
          <w:p w14:paraId="5E3183E8" w14:textId="5F869247" w:rsidR="00313653" w:rsidRPr="003B37F4" w:rsidRDefault="00313653" w:rsidP="00D40B05">
            <w:pPr>
              <w:widowControl/>
              <w:autoSpaceDE/>
              <w:autoSpaceDN/>
              <w:adjustRightInd/>
              <w:jc w:val="right"/>
              <w:rPr>
                <w:rFonts w:cs="Arial"/>
                <w:szCs w:val="20"/>
              </w:rPr>
            </w:pPr>
          </w:p>
        </w:tc>
        <w:tc>
          <w:tcPr>
            <w:tcW w:w="884" w:type="dxa"/>
            <w:tcBorders>
              <w:top w:val="nil"/>
              <w:left w:val="nil"/>
              <w:bottom w:val="nil"/>
              <w:right w:val="nil"/>
            </w:tcBorders>
            <w:shd w:val="clear" w:color="auto" w:fill="auto"/>
            <w:noWrap/>
            <w:vAlign w:val="bottom"/>
            <w:hideMark/>
          </w:tcPr>
          <w:p w14:paraId="2C9E436F" w14:textId="48A690D9" w:rsidR="00313653" w:rsidRPr="003B37F4" w:rsidRDefault="00313653" w:rsidP="00D40B05">
            <w:pPr>
              <w:widowControl/>
              <w:autoSpaceDE/>
              <w:autoSpaceDN/>
              <w:adjustRightInd/>
              <w:jc w:val="right"/>
              <w:rPr>
                <w:rFonts w:cs="Arial"/>
                <w:szCs w:val="20"/>
              </w:rPr>
            </w:pPr>
            <w:r w:rsidRPr="003B37F4">
              <w:rPr>
                <w:rFonts w:cs="Arial"/>
                <w:szCs w:val="20"/>
              </w:rPr>
              <w:t>617591</w:t>
            </w:r>
          </w:p>
        </w:tc>
        <w:tc>
          <w:tcPr>
            <w:tcW w:w="1217" w:type="dxa"/>
            <w:noWrap/>
            <w:hideMark/>
          </w:tcPr>
          <w:p w14:paraId="4E8DBF3B" w14:textId="390FB39E" w:rsidR="00313653" w:rsidRPr="003B37F4" w:rsidRDefault="00313653" w:rsidP="00D40B05">
            <w:pPr>
              <w:widowControl/>
              <w:autoSpaceDE/>
              <w:autoSpaceDN/>
              <w:adjustRightInd/>
              <w:jc w:val="right"/>
              <w:rPr>
                <w:rFonts w:cs="Arial"/>
                <w:szCs w:val="20"/>
              </w:rPr>
            </w:pPr>
          </w:p>
        </w:tc>
      </w:tr>
      <w:tr w:rsidR="00313653" w:rsidRPr="003B37F4" w14:paraId="764D4478" w14:textId="77777777" w:rsidTr="00313653">
        <w:trPr>
          <w:gridAfter w:val="2"/>
          <w:wAfter w:w="1217" w:type="dxa"/>
          <w:trHeight w:val="255"/>
        </w:trPr>
        <w:tc>
          <w:tcPr>
            <w:tcW w:w="3473" w:type="dxa"/>
            <w:gridSpan w:val="2"/>
            <w:tcBorders>
              <w:top w:val="nil"/>
              <w:left w:val="nil"/>
              <w:bottom w:val="nil"/>
              <w:right w:val="nil"/>
            </w:tcBorders>
            <w:shd w:val="clear" w:color="auto" w:fill="auto"/>
            <w:noWrap/>
            <w:vAlign w:val="center"/>
          </w:tcPr>
          <w:p w14:paraId="71166F31" w14:textId="5394FAB4" w:rsidR="00313653" w:rsidRPr="003B37F4" w:rsidRDefault="00313653" w:rsidP="00D40B05">
            <w:pPr>
              <w:widowControl/>
              <w:autoSpaceDE/>
              <w:autoSpaceDN/>
              <w:adjustRightInd/>
              <w:rPr>
                <w:rFonts w:cs="Arial"/>
                <w:szCs w:val="20"/>
              </w:rPr>
            </w:pPr>
            <w:r w:rsidRPr="003B37F4">
              <w:rPr>
                <w:rFonts w:cs="Arial"/>
                <w:szCs w:val="20"/>
              </w:rPr>
              <w:t>Vital Statistics</w:t>
            </w:r>
          </w:p>
        </w:tc>
        <w:tc>
          <w:tcPr>
            <w:tcW w:w="1217" w:type="dxa"/>
            <w:tcBorders>
              <w:top w:val="nil"/>
              <w:left w:val="nil"/>
              <w:bottom w:val="nil"/>
              <w:right w:val="nil"/>
            </w:tcBorders>
            <w:shd w:val="clear" w:color="auto" w:fill="auto"/>
            <w:noWrap/>
            <w:vAlign w:val="bottom"/>
          </w:tcPr>
          <w:p w14:paraId="04B49F2B" w14:textId="1A6DD958" w:rsidR="00313653" w:rsidRPr="003B37F4" w:rsidRDefault="00A6605E" w:rsidP="00D40B05">
            <w:pPr>
              <w:widowControl/>
              <w:autoSpaceDE/>
              <w:autoSpaceDN/>
              <w:adjustRightInd/>
              <w:jc w:val="right"/>
              <w:rPr>
                <w:rFonts w:cs="Arial"/>
                <w:szCs w:val="20"/>
              </w:rPr>
            </w:pPr>
            <w:r w:rsidRPr="003B37F4">
              <w:rPr>
                <w:rFonts w:cs="Arial"/>
                <w:szCs w:val="20"/>
              </w:rPr>
              <w:t>24792</w:t>
            </w:r>
          </w:p>
        </w:tc>
        <w:tc>
          <w:tcPr>
            <w:tcW w:w="884" w:type="dxa"/>
            <w:tcBorders>
              <w:top w:val="nil"/>
              <w:left w:val="nil"/>
              <w:bottom w:val="nil"/>
              <w:right w:val="nil"/>
            </w:tcBorders>
            <w:shd w:val="clear" w:color="auto" w:fill="auto"/>
            <w:noWrap/>
            <w:vAlign w:val="center"/>
          </w:tcPr>
          <w:p w14:paraId="204AEB8C" w14:textId="77777777" w:rsidR="00313653" w:rsidRPr="003B37F4" w:rsidRDefault="00313653" w:rsidP="00D40B05">
            <w:pPr>
              <w:widowControl/>
              <w:autoSpaceDE/>
              <w:autoSpaceDN/>
              <w:adjustRightInd/>
              <w:rPr>
                <w:rFonts w:cs="Arial"/>
                <w:szCs w:val="20"/>
              </w:rPr>
            </w:pPr>
          </w:p>
        </w:tc>
        <w:tc>
          <w:tcPr>
            <w:tcW w:w="1217" w:type="dxa"/>
            <w:tcBorders>
              <w:top w:val="nil"/>
              <w:left w:val="nil"/>
              <w:bottom w:val="nil"/>
              <w:right w:val="nil"/>
            </w:tcBorders>
            <w:shd w:val="clear" w:color="auto" w:fill="auto"/>
            <w:noWrap/>
            <w:vAlign w:val="bottom"/>
          </w:tcPr>
          <w:p w14:paraId="753B12CD" w14:textId="06FC613E" w:rsidR="00313653" w:rsidRPr="003B37F4" w:rsidRDefault="00313653" w:rsidP="00D40B05">
            <w:pPr>
              <w:widowControl/>
              <w:autoSpaceDE/>
              <w:autoSpaceDN/>
              <w:adjustRightInd/>
              <w:jc w:val="right"/>
              <w:rPr>
                <w:rFonts w:cs="Arial"/>
                <w:szCs w:val="20"/>
              </w:rPr>
            </w:pPr>
            <w:r w:rsidRPr="003B37F4">
              <w:rPr>
                <w:rFonts w:cs="Arial"/>
                <w:szCs w:val="20"/>
              </w:rPr>
              <w:t>23541</w:t>
            </w:r>
          </w:p>
        </w:tc>
      </w:tr>
      <w:tr w:rsidR="00313653" w:rsidRPr="003B37F4" w14:paraId="5E38EA79" w14:textId="77777777" w:rsidTr="00313653">
        <w:trPr>
          <w:gridAfter w:val="2"/>
          <w:wAfter w:w="1217" w:type="dxa"/>
          <w:trHeight w:val="255"/>
        </w:trPr>
        <w:tc>
          <w:tcPr>
            <w:tcW w:w="3473" w:type="dxa"/>
            <w:gridSpan w:val="2"/>
            <w:tcBorders>
              <w:top w:val="nil"/>
              <w:left w:val="nil"/>
              <w:bottom w:val="nil"/>
              <w:right w:val="nil"/>
            </w:tcBorders>
            <w:shd w:val="clear" w:color="auto" w:fill="auto"/>
            <w:noWrap/>
            <w:vAlign w:val="center"/>
            <w:hideMark/>
          </w:tcPr>
          <w:p w14:paraId="014153F0" w14:textId="6207FD40" w:rsidR="00313653" w:rsidRPr="003B37F4" w:rsidRDefault="00313653" w:rsidP="00D40B05">
            <w:pPr>
              <w:widowControl/>
              <w:autoSpaceDE/>
              <w:autoSpaceDN/>
              <w:adjustRightInd/>
              <w:rPr>
                <w:rFonts w:cs="Arial"/>
                <w:szCs w:val="20"/>
              </w:rPr>
            </w:pPr>
            <w:r w:rsidRPr="003B37F4">
              <w:rPr>
                <w:rFonts w:cs="Arial"/>
                <w:szCs w:val="20"/>
              </w:rPr>
              <w:t>Child Abuse Prevention</w:t>
            </w:r>
          </w:p>
        </w:tc>
        <w:tc>
          <w:tcPr>
            <w:tcW w:w="1217" w:type="dxa"/>
            <w:tcBorders>
              <w:top w:val="nil"/>
              <w:left w:val="nil"/>
              <w:bottom w:val="nil"/>
              <w:right w:val="nil"/>
            </w:tcBorders>
            <w:shd w:val="clear" w:color="auto" w:fill="auto"/>
            <w:noWrap/>
            <w:vAlign w:val="bottom"/>
            <w:hideMark/>
          </w:tcPr>
          <w:p w14:paraId="423DD57C" w14:textId="084BA9E0" w:rsidR="00313653" w:rsidRPr="003B37F4" w:rsidRDefault="00A6605E" w:rsidP="00D40B05">
            <w:pPr>
              <w:widowControl/>
              <w:autoSpaceDE/>
              <w:autoSpaceDN/>
              <w:adjustRightInd/>
              <w:jc w:val="right"/>
              <w:rPr>
                <w:rFonts w:cs="Arial"/>
                <w:szCs w:val="20"/>
              </w:rPr>
            </w:pPr>
            <w:r w:rsidRPr="003B37F4">
              <w:rPr>
                <w:rFonts w:cs="Arial"/>
                <w:szCs w:val="20"/>
              </w:rPr>
              <w:t>11929</w:t>
            </w:r>
          </w:p>
        </w:tc>
        <w:tc>
          <w:tcPr>
            <w:tcW w:w="884" w:type="dxa"/>
            <w:tcBorders>
              <w:top w:val="nil"/>
              <w:left w:val="nil"/>
              <w:bottom w:val="nil"/>
              <w:right w:val="nil"/>
            </w:tcBorders>
            <w:shd w:val="clear" w:color="auto" w:fill="auto"/>
            <w:noWrap/>
            <w:vAlign w:val="center"/>
            <w:hideMark/>
          </w:tcPr>
          <w:p w14:paraId="5933D1D6" w14:textId="77777777" w:rsidR="00313653" w:rsidRPr="003B37F4" w:rsidRDefault="00313653" w:rsidP="00D40B05">
            <w:pPr>
              <w:widowControl/>
              <w:autoSpaceDE/>
              <w:autoSpaceDN/>
              <w:adjustRightInd/>
              <w:rPr>
                <w:rFonts w:cs="Arial"/>
                <w:szCs w:val="20"/>
              </w:rPr>
            </w:pPr>
          </w:p>
        </w:tc>
        <w:tc>
          <w:tcPr>
            <w:tcW w:w="1217" w:type="dxa"/>
            <w:tcBorders>
              <w:top w:val="nil"/>
              <w:left w:val="nil"/>
              <w:bottom w:val="nil"/>
              <w:right w:val="nil"/>
            </w:tcBorders>
            <w:shd w:val="clear" w:color="auto" w:fill="auto"/>
            <w:noWrap/>
            <w:vAlign w:val="bottom"/>
            <w:hideMark/>
          </w:tcPr>
          <w:p w14:paraId="3405D13D" w14:textId="5D6DD1D4" w:rsidR="00313653" w:rsidRPr="003B37F4" w:rsidRDefault="00313653" w:rsidP="00D40B05">
            <w:pPr>
              <w:widowControl/>
              <w:autoSpaceDE/>
              <w:autoSpaceDN/>
              <w:adjustRightInd/>
              <w:jc w:val="right"/>
              <w:rPr>
                <w:rFonts w:cs="Arial"/>
                <w:szCs w:val="20"/>
              </w:rPr>
            </w:pPr>
            <w:r w:rsidRPr="003B37F4">
              <w:rPr>
                <w:rFonts w:cs="Arial"/>
                <w:szCs w:val="20"/>
              </w:rPr>
              <w:t>11367</w:t>
            </w:r>
          </w:p>
        </w:tc>
      </w:tr>
      <w:tr w:rsidR="00313653" w:rsidRPr="003B37F4" w14:paraId="23D5AFA9" w14:textId="77777777" w:rsidTr="00313653">
        <w:trPr>
          <w:gridAfter w:val="2"/>
          <w:wAfter w:w="1217" w:type="dxa"/>
          <w:trHeight w:val="255"/>
        </w:trPr>
        <w:tc>
          <w:tcPr>
            <w:tcW w:w="3473" w:type="dxa"/>
            <w:gridSpan w:val="2"/>
            <w:tcBorders>
              <w:top w:val="nil"/>
              <w:left w:val="nil"/>
              <w:bottom w:val="nil"/>
              <w:right w:val="nil"/>
            </w:tcBorders>
            <w:shd w:val="clear" w:color="auto" w:fill="auto"/>
            <w:noWrap/>
            <w:vAlign w:val="center"/>
            <w:hideMark/>
          </w:tcPr>
          <w:p w14:paraId="48881194" w14:textId="7BB5902E" w:rsidR="00313653" w:rsidRPr="003B37F4" w:rsidRDefault="00313653" w:rsidP="00D40B05">
            <w:pPr>
              <w:widowControl/>
              <w:autoSpaceDE/>
              <w:autoSpaceDN/>
              <w:adjustRightInd/>
              <w:rPr>
                <w:rFonts w:cs="Arial"/>
                <w:szCs w:val="20"/>
              </w:rPr>
            </w:pPr>
            <w:r w:rsidRPr="003B37F4">
              <w:rPr>
                <w:rFonts w:cs="Arial"/>
                <w:szCs w:val="20"/>
              </w:rPr>
              <w:t>Administration</w:t>
            </w:r>
          </w:p>
        </w:tc>
        <w:tc>
          <w:tcPr>
            <w:tcW w:w="1217" w:type="dxa"/>
            <w:tcBorders>
              <w:top w:val="nil"/>
              <w:left w:val="nil"/>
              <w:bottom w:val="nil"/>
              <w:right w:val="nil"/>
            </w:tcBorders>
            <w:shd w:val="clear" w:color="auto" w:fill="auto"/>
            <w:noWrap/>
            <w:vAlign w:val="bottom"/>
            <w:hideMark/>
          </w:tcPr>
          <w:p w14:paraId="27172AA4" w14:textId="16D4D095" w:rsidR="00313653" w:rsidRPr="003B37F4" w:rsidRDefault="00A6605E" w:rsidP="00D40B05">
            <w:pPr>
              <w:widowControl/>
              <w:autoSpaceDE/>
              <w:autoSpaceDN/>
              <w:adjustRightInd/>
              <w:jc w:val="right"/>
              <w:rPr>
                <w:rFonts w:cs="Arial"/>
                <w:szCs w:val="20"/>
              </w:rPr>
            </w:pPr>
            <w:r w:rsidRPr="003B37F4">
              <w:rPr>
                <w:rFonts w:cs="Arial"/>
                <w:szCs w:val="20"/>
              </w:rPr>
              <w:t>581789</w:t>
            </w:r>
          </w:p>
        </w:tc>
        <w:tc>
          <w:tcPr>
            <w:tcW w:w="884" w:type="dxa"/>
            <w:tcBorders>
              <w:top w:val="nil"/>
              <w:left w:val="nil"/>
              <w:bottom w:val="nil"/>
              <w:right w:val="nil"/>
            </w:tcBorders>
            <w:shd w:val="clear" w:color="auto" w:fill="auto"/>
            <w:noWrap/>
            <w:vAlign w:val="center"/>
            <w:hideMark/>
          </w:tcPr>
          <w:p w14:paraId="3ECBA12E" w14:textId="77777777" w:rsidR="00313653" w:rsidRPr="003B37F4" w:rsidRDefault="00313653" w:rsidP="00D40B05">
            <w:pPr>
              <w:widowControl/>
              <w:autoSpaceDE/>
              <w:autoSpaceDN/>
              <w:adjustRightInd/>
              <w:rPr>
                <w:rFonts w:cs="Arial"/>
                <w:szCs w:val="20"/>
              </w:rPr>
            </w:pPr>
          </w:p>
        </w:tc>
        <w:tc>
          <w:tcPr>
            <w:tcW w:w="1217" w:type="dxa"/>
            <w:tcBorders>
              <w:top w:val="nil"/>
              <w:left w:val="nil"/>
              <w:bottom w:val="nil"/>
              <w:right w:val="nil"/>
            </w:tcBorders>
            <w:shd w:val="clear" w:color="auto" w:fill="auto"/>
            <w:noWrap/>
            <w:vAlign w:val="bottom"/>
            <w:hideMark/>
          </w:tcPr>
          <w:p w14:paraId="24F3461E" w14:textId="3F51477D" w:rsidR="00313653" w:rsidRPr="003B37F4" w:rsidRDefault="00313653" w:rsidP="00D40B05">
            <w:pPr>
              <w:widowControl/>
              <w:autoSpaceDE/>
              <w:autoSpaceDN/>
              <w:adjustRightInd/>
              <w:jc w:val="right"/>
              <w:rPr>
                <w:rFonts w:cs="Arial"/>
                <w:szCs w:val="20"/>
              </w:rPr>
            </w:pPr>
            <w:r w:rsidRPr="003B37F4">
              <w:rPr>
                <w:rFonts w:cs="Arial"/>
                <w:szCs w:val="20"/>
              </w:rPr>
              <w:t>71750</w:t>
            </w:r>
          </w:p>
        </w:tc>
      </w:tr>
      <w:tr w:rsidR="00313653" w:rsidRPr="003B37F4" w14:paraId="7EA53ECA" w14:textId="77777777" w:rsidTr="00313653">
        <w:trPr>
          <w:gridAfter w:val="2"/>
          <w:wAfter w:w="1217" w:type="dxa"/>
          <w:trHeight w:val="255"/>
        </w:trPr>
        <w:tc>
          <w:tcPr>
            <w:tcW w:w="3473" w:type="dxa"/>
            <w:gridSpan w:val="2"/>
            <w:tcBorders>
              <w:top w:val="nil"/>
              <w:left w:val="nil"/>
              <w:bottom w:val="nil"/>
              <w:right w:val="nil"/>
            </w:tcBorders>
            <w:shd w:val="clear" w:color="auto" w:fill="auto"/>
            <w:noWrap/>
            <w:vAlign w:val="center"/>
            <w:hideMark/>
          </w:tcPr>
          <w:p w14:paraId="57C0BA2A" w14:textId="57CC5EB4" w:rsidR="00313653" w:rsidRPr="003B37F4" w:rsidRDefault="00313653" w:rsidP="00D40B05">
            <w:pPr>
              <w:widowControl/>
              <w:autoSpaceDE/>
              <w:autoSpaceDN/>
              <w:adjustRightInd/>
              <w:rPr>
                <w:rFonts w:cs="Arial"/>
                <w:szCs w:val="20"/>
              </w:rPr>
            </w:pPr>
            <w:r w:rsidRPr="003B37F4">
              <w:rPr>
                <w:rFonts w:cs="Arial"/>
                <w:szCs w:val="20"/>
              </w:rPr>
              <w:t>Travel/Training</w:t>
            </w:r>
          </w:p>
        </w:tc>
        <w:tc>
          <w:tcPr>
            <w:tcW w:w="1217" w:type="dxa"/>
            <w:tcBorders>
              <w:top w:val="nil"/>
              <w:left w:val="nil"/>
              <w:bottom w:val="nil"/>
              <w:right w:val="nil"/>
            </w:tcBorders>
            <w:shd w:val="clear" w:color="auto" w:fill="auto"/>
            <w:noWrap/>
            <w:vAlign w:val="bottom"/>
            <w:hideMark/>
          </w:tcPr>
          <w:p w14:paraId="17B2B9F2" w14:textId="69DA3CBB" w:rsidR="00313653" w:rsidRPr="003B37F4" w:rsidRDefault="00A6605E" w:rsidP="00D40B05">
            <w:pPr>
              <w:widowControl/>
              <w:autoSpaceDE/>
              <w:autoSpaceDN/>
              <w:adjustRightInd/>
              <w:jc w:val="right"/>
              <w:rPr>
                <w:rFonts w:cs="Arial"/>
                <w:szCs w:val="20"/>
              </w:rPr>
            </w:pPr>
            <w:r w:rsidRPr="003B37F4">
              <w:rPr>
                <w:rFonts w:cs="Arial"/>
                <w:szCs w:val="20"/>
              </w:rPr>
              <w:t>11945</w:t>
            </w:r>
          </w:p>
        </w:tc>
        <w:tc>
          <w:tcPr>
            <w:tcW w:w="884" w:type="dxa"/>
            <w:tcBorders>
              <w:top w:val="nil"/>
              <w:left w:val="nil"/>
              <w:bottom w:val="nil"/>
              <w:right w:val="nil"/>
            </w:tcBorders>
            <w:shd w:val="clear" w:color="auto" w:fill="auto"/>
            <w:noWrap/>
            <w:vAlign w:val="center"/>
            <w:hideMark/>
          </w:tcPr>
          <w:p w14:paraId="3E9446D7" w14:textId="77777777" w:rsidR="00313653" w:rsidRPr="003B37F4" w:rsidRDefault="00313653" w:rsidP="00D40B05">
            <w:pPr>
              <w:widowControl/>
              <w:autoSpaceDE/>
              <w:autoSpaceDN/>
              <w:adjustRightInd/>
              <w:rPr>
                <w:rFonts w:cs="Arial"/>
                <w:szCs w:val="20"/>
              </w:rPr>
            </w:pPr>
          </w:p>
        </w:tc>
        <w:tc>
          <w:tcPr>
            <w:tcW w:w="1217" w:type="dxa"/>
            <w:tcBorders>
              <w:top w:val="nil"/>
              <w:left w:val="nil"/>
              <w:bottom w:val="nil"/>
              <w:right w:val="nil"/>
            </w:tcBorders>
            <w:shd w:val="clear" w:color="auto" w:fill="auto"/>
            <w:noWrap/>
            <w:vAlign w:val="bottom"/>
            <w:hideMark/>
          </w:tcPr>
          <w:p w14:paraId="596E7C59" w14:textId="4FE2B5DD" w:rsidR="00313653" w:rsidRPr="003B37F4" w:rsidRDefault="00313653" w:rsidP="00D40B05">
            <w:pPr>
              <w:widowControl/>
              <w:autoSpaceDE/>
              <w:autoSpaceDN/>
              <w:adjustRightInd/>
              <w:jc w:val="right"/>
              <w:rPr>
                <w:rFonts w:cs="Arial"/>
                <w:szCs w:val="20"/>
              </w:rPr>
            </w:pPr>
            <w:r w:rsidRPr="003B37F4">
              <w:rPr>
                <w:rFonts w:cs="Arial"/>
                <w:szCs w:val="20"/>
              </w:rPr>
              <w:t>9299</w:t>
            </w:r>
          </w:p>
        </w:tc>
      </w:tr>
      <w:tr w:rsidR="00313653" w:rsidRPr="003B37F4" w14:paraId="6FB46FAB" w14:textId="77777777" w:rsidTr="00313653">
        <w:trPr>
          <w:gridAfter w:val="2"/>
          <w:wAfter w:w="1217" w:type="dxa"/>
          <w:trHeight w:val="285"/>
        </w:trPr>
        <w:tc>
          <w:tcPr>
            <w:tcW w:w="3473" w:type="dxa"/>
            <w:gridSpan w:val="2"/>
            <w:tcBorders>
              <w:top w:val="nil"/>
              <w:left w:val="nil"/>
              <w:bottom w:val="nil"/>
              <w:right w:val="nil"/>
            </w:tcBorders>
            <w:shd w:val="clear" w:color="auto" w:fill="auto"/>
            <w:noWrap/>
            <w:vAlign w:val="center"/>
            <w:hideMark/>
          </w:tcPr>
          <w:p w14:paraId="2466D122" w14:textId="71722F94" w:rsidR="00313653" w:rsidRPr="003B37F4" w:rsidRDefault="00313653" w:rsidP="00D40B05">
            <w:pPr>
              <w:widowControl/>
              <w:autoSpaceDE/>
              <w:autoSpaceDN/>
              <w:adjustRightInd/>
              <w:rPr>
                <w:rFonts w:cs="Arial"/>
                <w:szCs w:val="20"/>
              </w:rPr>
            </w:pPr>
            <w:r w:rsidRPr="003B37F4">
              <w:rPr>
                <w:rFonts w:cs="Arial"/>
                <w:szCs w:val="20"/>
              </w:rPr>
              <w:t>County Auditor/Treasurer Fee</w:t>
            </w:r>
          </w:p>
        </w:tc>
        <w:tc>
          <w:tcPr>
            <w:tcW w:w="1217" w:type="dxa"/>
            <w:tcBorders>
              <w:top w:val="nil"/>
              <w:left w:val="nil"/>
              <w:bottom w:val="nil"/>
              <w:right w:val="nil"/>
            </w:tcBorders>
            <w:shd w:val="clear" w:color="auto" w:fill="auto"/>
            <w:noWrap/>
            <w:vAlign w:val="bottom"/>
            <w:hideMark/>
          </w:tcPr>
          <w:p w14:paraId="1771C1AC" w14:textId="0CA32A9F" w:rsidR="00313653" w:rsidRPr="003B37F4" w:rsidRDefault="00A6605E" w:rsidP="00D40B05">
            <w:pPr>
              <w:widowControl/>
              <w:autoSpaceDE/>
              <w:autoSpaceDN/>
              <w:adjustRightInd/>
              <w:jc w:val="right"/>
              <w:rPr>
                <w:rFonts w:cs="Arial"/>
                <w:szCs w:val="20"/>
              </w:rPr>
            </w:pPr>
            <w:r w:rsidRPr="003B37F4">
              <w:rPr>
                <w:rFonts w:cs="Arial"/>
                <w:szCs w:val="20"/>
              </w:rPr>
              <w:t>10419</w:t>
            </w:r>
          </w:p>
        </w:tc>
        <w:tc>
          <w:tcPr>
            <w:tcW w:w="884" w:type="dxa"/>
            <w:tcBorders>
              <w:top w:val="nil"/>
              <w:left w:val="nil"/>
              <w:bottom w:val="nil"/>
              <w:right w:val="nil"/>
            </w:tcBorders>
            <w:shd w:val="clear" w:color="auto" w:fill="auto"/>
            <w:noWrap/>
            <w:vAlign w:val="center"/>
            <w:hideMark/>
          </w:tcPr>
          <w:p w14:paraId="021F9F6E" w14:textId="77777777" w:rsidR="00313653" w:rsidRPr="003B37F4" w:rsidRDefault="00313653" w:rsidP="00D40B05">
            <w:pPr>
              <w:widowControl/>
              <w:autoSpaceDE/>
              <w:autoSpaceDN/>
              <w:adjustRightInd/>
              <w:rPr>
                <w:rFonts w:cs="Arial"/>
                <w:szCs w:val="20"/>
              </w:rPr>
            </w:pPr>
          </w:p>
        </w:tc>
        <w:tc>
          <w:tcPr>
            <w:tcW w:w="1217" w:type="dxa"/>
            <w:tcBorders>
              <w:top w:val="nil"/>
              <w:left w:val="nil"/>
              <w:bottom w:val="nil"/>
              <w:right w:val="nil"/>
            </w:tcBorders>
            <w:shd w:val="clear" w:color="auto" w:fill="auto"/>
            <w:noWrap/>
            <w:vAlign w:val="bottom"/>
            <w:hideMark/>
          </w:tcPr>
          <w:p w14:paraId="1233FE6E" w14:textId="65062872" w:rsidR="00313653" w:rsidRPr="003B37F4" w:rsidRDefault="00313653" w:rsidP="00D40B05">
            <w:pPr>
              <w:widowControl/>
              <w:autoSpaceDE/>
              <w:autoSpaceDN/>
              <w:adjustRightInd/>
              <w:jc w:val="right"/>
              <w:rPr>
                <w:rFonts w:cs="Arial"/>
                <w:szCs w:val="20"/>
              </w:rPr>
            </w:pPr>
            <w:r w:rsidRPr="003B37F4">
              <w:rPr>
                <w:rFonts w:cs="Arial"/>
                <w:szCs w:val="20"/>
              </w:rPr>
              <w:t>5860</w:t>
            </w:r>
          </w:p>
        </w:tc>
      </w:tr>
      <w:tr w:rsidR="00313653" w:rsidRPr="003B37F4" w14:paraId="2A345DF1" w14:textId="77777777" w:rsidTr="00313653">
        <w:trPr>
          <w:gridAfter w:val="2"/>
          <w:wAfter w:w="1217" w:type="dxa"/>
          <w:trHeight w:val="255"/>
        </w:trPr>
        <w:tc>
          <w:tcPr>
            <w:tcW w:w="3473" w:type="dxa"/>
            <w:gridSpan w:val="2"/>
            <w:tcBorders>
              <w:top w:val="nil"/>
              <w:left w:val="nil"/>
              <w:bottom w:val="nil"/>
              <w:right w:val="nil"/>
            </w:tcBorders>
            <w:shd w:val="clear" w:color="auto" w:fill="auto"/>
            <w:noWrap/>
            <w:vAlign w:val="center"/>
            <w:hideMark/>
          </w:tcPr>
          <w:p w14:paraId="782CDC51" w14:textId="1D1E1B28" w:rsidR="00313653" w:rsidRPr="003B37F4" w:rsidRDefault="00313653" w:rsidP="00D40B05">
            <w:pPr>
              <w:widowControl/>
              <w:autoSpaceDE/>
              <w:autoSpaceDN/>
              <w:adjustRightInd/>
              <w:rPr>
                <w:rFonts w:cs="Arial"/>
                <w:szCs w:val="20"/>
              </w:rPr>
            </w:pPr>
            <w:r w:rsidRPr="003B37F4">
              <w:rPr>
                <w:rFonts w:cs="Arial"/>
                <w:szCs w:val="20"/>
              </w:rPr>
              <w:lastRenderedPageBreak/>
              <w:t>Rent/Maintenance Phones</w:t>
            </w:r>
          </w:p>
        </w:tc>
        <w:tc>
          <w:tcPr>
            <w:tcW w:w="1217" w:type="dxa"/>
            <w:tcBorders>
              <w:top w:val="nil"/>
              <w:left w:val="nil"/>
              <w:bottom w:val="nil"/>
              <w:right w:val="nil"/>
            </w:tcBorders>
            <w:shd w:val="clear" w:color="auto" w:fill="auto"/>
            <w:noWrap/>
            <w:vAlign w:val="bottom"/>
            <w:hideMark/>
          </w:tcPr>
          <w:p w14:paraId="6C0D1086" w14:textId="2C5D886F" w:rsidR="00313653" w:rsidRPr="003B37F4" w:rsidRDefault="00A6605E" w:rsidP="00D40B05">
            <w:pPr>
              <w:widowControl/>
              <w:autoSpaceDE/>
              <w:autoSpaceDN/>
              <w:adjustRightInd/>
              <w:jc w:val="right"/>
              <w:rPr>
                <w:rFonts w:cs="Arial"/>
                <w:szCs w:val="20"/>
              </w:rPr>
            </w:pPr>
            <w:r w:rsidRPr="003B37F4">
              <w:rPr>
                <w:rFonts w:cs="Arial"/>
                <w:szCs w:val="20"/>
              </w:rPr>
              <w:t>40416</w:t>
            </w:r>
          </w:p>
        </w:tc>
        <w:tc>
          <w:tcPr>
            <w:tcW w:w="884" w:type="dxa"/>
            <w:tcBorders>
              <w:top w:val="nil"/>
              <w:left w:val="nil"/>
              <w:bottom w:val="nil"/>
              <w:right w:val="nil"/>
            </w:tcBorders>
            <w:shd w:val="clear" w:color="auto" w:fill="auto"/>
            <w:noWrap/>
            <w:vAlign w:val="center"/>
            <w:hideMark/>
          </w:tcPr>
          <w:p w14:paraId="4C3FE3AF" w14:textId="77777777" w:rsidR="00313653" w:rsidRPr="003B37F4" w:rsidRDefault="00313653" w:rsidP="00D40B05">
            <w:pPr>
              <w:widowControl/>
              <w:autoSpaceDE/>
              <w:autoSpaceDN/>
              <w:adjustRightInd/>
              <w:rPr>
                <w:rFonts w:cs="Arial"/>
                <w:szCs w:val="20"/>
              </w:rPr>
            </w:pPr>
          </w:p>
        </w:tc>
        <w:tc>
          <w:tcPr>
            <w:tcW w:w="1217" w:type="dxa"/>
            <w:tcBorders>
              <w:top w:val="nil"/>
              <w:left w:val="nil"/>
              <w:bottom w:val="nil"/>
              <w:right w:val="nil"/>
            </w:tcBorders>
            <w:shd w:val="clear" w:color="auto" w:fill="auto"/>
            <w:noWrap/>
            <w:vAlign w:val="bottom"/>
            <w:hideMark/>
          </w:tcPr>
          <w:p w14:paraId="4A0E85EB" w14:textId="4FCAAC3C" w:rsidR="00313653" w:rsidRPr="003B37F4" w:rsidRDefault="00313653" w:rsidP="00D40B05">
            <w:pPr>
              <w:widowControl/>
              <w:autoSpaceDE/>
              <w:autoSpaceDN/>
              <w:adjustRightInd/>
              <w:jc w:val="right"/>
              <w:rPr>
                <w:rFonts w:cs="Arial"/>
                <w:szCs w:val="20"/>
              </w:rPr>
            </w:pPr>
            <w:r w:rsidRPr="003B37F4">
              <w:rPr>
                <w:rFonts w:cs="Arial"/>
                <w:szCs w:val="20"/>
              </w:rPr>
              <w:t>41992</w:t>
            </w:r>
          </w:p>
        </w:tc>
      </w:tr>
      <w:tr w:rsidR="00313653" w:rsidRPr="003B37F4" w14:paraId="3FEC8333" w14:textId="77777777" w:rsidTr="00313653">
        <w:trPr>
          <w:gridAfter w:val="2"/>
          <w:wAfter w:w="1217" w:type="dxa"/>
          <w:trHeight w:val="255"/>
        </w:trPr>
        <w:tc>
          <w:tcPr>
            <w:tcW w:w="3473" w:type="dxa"/>
            <w:gridSpan w:val="2"/>
            <w:tcBorders>
              <w:top w:val="nil"/>
              <w:left w:val="nil"/>
              <w:bottom w:val="nil"/>
              <w:right w:val="nil"/>
            </w:tcBorders>
            <w:shd w:val="clear" w:color="auto" w:fill="auto"/>
            <w:noWrap/>
            <w:vAlign w:val="center"/>
            <w:hideMark/>
          </w:tcPr>
          <w:p w14:paraId="3604AAA9" w14:textId="4A830CBE" w:rsidR="00313653" w:rsidRPr="003B37F4" w:rsidRDefault="00313653" w:rsidP="00D40B05">
            <w:pPr>
              <w:widowControl/>
              <w:autoSpaceDE/>
              <w:autoSpaceDN/>
              <w:adjustRightInd/>
              <w:rPr>
                <w:rFonts w:cs="Arial"/>
                <w:szCs w:val="20"/>
              </w:rPr>
            </w:pPr>
            <w:r w:rsidRPr="003B37F4">
              <w:rPr>
                <w:rFonts w:cs="Arial"/>
                <w:szCs w:val="20"/>
              </w:rPr>
              <w:t>Other Health Expenditures</w:t>
            </w:r>
          </w:p>
        </w:tc>
        <w:tc>
          <w:tcPr>
            <w:tcW w:w="1217" w:type="dxa"/>
            <w:tcBorders>
              <w:top w:val="nil"/>
              <w:left w:val="nil"/>
              <w:bottom w:val="nil"/>
              <w:right w:val="nil"/>
            </w:tcBorders>
            <w:shd w:val="clear" w:color="auto" w:fill="auto"/>
            <w:noWrap/>
            <w:vAlign w:val="bottom"/>
            <w:hideMark/>
          </w:tcPr>
          <w:p w14:paraId="6C13F381" w14:textId="4ACA7187" w:rsidR="00313653" w:rsidRPr="003B37F4" w:rsidRDefault="00A6605E" w:rsidP="00D40B05">
            <w:pPr>
              <w:widowControl/>
              <w:autoSpaceDE/>
              <w:autoSpaceDN/>
              <w:adjustRightInd/>
              <w:jc w:val="right"/>
              <w:rPr>
                <w:rFonts w:cs="Arial"/>
                <w:szCs w:val="20"/>
              </w:rPr>
            </w:pPr>
            <w:r w:rsidRPr="003B37F4">
              <w:rPr>
                <w:rFonts w:cs="Arial"/>
                <w:szCs w:val="20"/>
              </w:rPr>
              <w:t>18771</w:t>
            </w:r>
          </w:p>
        </w:tc>
        <w:tc>
          <w:tcPr>
            <w:tcW w:w="884" w:type="dxa"/>
            <w:tcBorders>
              <w:top w:val="nil"/>
              <w:left w:val="nil"/>
              <w:bottom w:val="nil"/>
              <w:right w:val="nil"/>
            </w:tcBorders>
            <w:shd w:val="clear" w:color="auto" w:fill="auto"/>
            <w:noWrap/>
            <w:vAlign w:val="center"/>
            <w:hideMark/>
          </w:tcPr>
          <w:p w14:paraId="54717B19" w14:textId="77777777" w:rsidR="00313653" w:rsidRPr="003B37F4" w:rsidRDefault="00313653" w:rsidP="00D40B05">
            <w:pPr>
              <w:widowControl/>
              <w:autoSpaceDE/>
              <w:autoSpaceDN/>
              <w:adjustRightInd/>
              <w:rPr>
                <w:rFonts w:cs="Arial"/>
                <w:szCs w:val="20"/>
              </w:rPr>
            </w:pPr>
          </w:p>
        </w:tc>
        <w:tc>
          <w:tcPr>
            <w:tcW w:w="1217" w:type="dxa"/>
            <w:tcBorders>
              <w:top w:val="nil"/>
              <w:left w:val="nil"/>
              <w:bottom w:val="nil"/>
              <w:right w:val="nil"/>
            </w:tcBorders>
            <w:shd w:val="clear" w:color="auto" w:fill="auto"/>
            <w:noWrap/>
            <w:vAlign w:val="bottom"/>
            <w:hideMark/>
          </w:tcPr>
          <w:p w14:paraId="208C42D4" w14:textId="44193CDE" w:rsidR="00313653" w:rsidRPr="003B37F4" w:rsidRDefault="00313653" w:rsidP="00D40B05">
            <w:pPr>
              <w:widowControl/>
              <w:autoSpaceDE/>
              <w:autoSpaceDN/>
              <w:adjustRightInd/>
              <w:jc w:val="right"/>
              <w:rPr>
                <w:rFonts w:cs="Arial"/>
                <w:szCs w:val="20"/>
              </w:rPr>
            </w:pPr>
            <w:r w:rsidRPr="003B37F4">
              <w:rPr>
                <w:rFonts w:cs="Arial"/>
                <w:szCs w:val="20"/>
              </w:rPr>
              <w:t>0</w:t>
            </w:r>
          </w:p>
        </w:tc>
      </w:tr>
      <w:tr w:rsidR="00313653" w:rsidRPr="003B37F4" w14:paraId="100EC3F1" w14:textId="77777777" w:rsidTr="00313653">
        <w:trPr>
          <w:gridAfter w:val="2"/>
          <w:wAfter w:w="1217" w:type="dxa"/>
          <w:trHeight w:val="270"/>
        </w:trPr>
        <w:tc>
          <w:tcPr>
            <w:tcW w:w="3473" w:type="dxa"/>
            <w:gridSpan w:val="2"/>
            <w:tcBorders>
              <w:top w:val="nil"/>
              <w:left w:val="nil"/>
              <w:bottom w:val="nil"/>
              <w:right w:val="nil"/>
            </w:tcBorders>
            <w:shd w:val="clear" w:color="auto" w:fill="auto"/>
            <w:noWrap/>
            <w:vAlign w:val="center"/>
            <w:hideMark/>
          </w:tcPr>
          <w:p w14:paraId="6F72209A" w14:textId="2E1D89DB" w:rsidR="00313653" w:rsidRPr="003B37F4" w:rsidRDefault="00313653" w:rsidP="00D40B05">
            <w:pPr>
              <w:widowControl/>
              <w:autoSpaceDE/>
              <w:autoSpaceDN/>
              <w:adjustRightInd/>
              <w:rPr>
                <w:rFonts w:cs="Arial"/>
                <w:szCs w:val="20"/>
              </w:rPr>
            </w:pPr>
            <w:r w:rsidRPr="003B37F4">
              <w:rPr>
                <w:rFonts w:cs="Arial"/>
                <w:szCs w:val="20"/>
              </w:rPr>
              <w:t>Total Disbursements</w:t>
            </w:r>
          </w:p>
        </w:tc>
        <w:tc>
          <w:tcPr>
            <w:tcW w:w="1217" w:type="dxa"/>
            <w:tcBorders>
              <w:top w:val="single" w:sz="8" w:space="0" w:color="auto"/>
              <w:left w:val="nil"/>
              <w:bottom w:val="single" w:sz="8" w:space="0" w:color="auto"/>
              <w:right w:val="nil"/>
            </w:tcBorders>
            <w:shd w:val="clear" w:color="auto" w:fill="auto"/>
            <w:noWrap/>
            <w:vAlign w:val="center"/>
            <w:hideMark/>
          </w:tcPr>
          <w:p w14:paraId="0859B56D" w14:textId="6E964A43" w:rsidR="00313653" w:rsidRPr="003B37F4" w:rsidRDefault="0008239A" w:rsidP="00D40B05">
            <w:pPr>
              <w:widowControl/>
              <w:autoSpaceDE/>
              <w:autoSpaceDN/>
              <w:adjustRightInd/>
              <w:jc w:val="right"/>
              <w:rPr>
                <w:rFonts w:cs="Arial"/>
                <w:szCs w:val="20"/>
              </w:rPr>
            </w:pPr>
            <w:r w:rsidRPr="0008239A">
              <w:rPr>
                <w:rFonts w:cs="Arial"/>
                <w:szCs w:val="20"/>
                <w:highlight w:val="yellow"/>
              </w:rPr>
              <w:t>1514744</w:t>
            </w:r>
          </w:p>
        </w:tc>
        <w:tc>
          <w:tcPr>
            <w:tcW w:w="884" w:type="dxa"/>
            <w:tcBorders>
              <w:top w:val="nil"/>
              <w:left w:val="nil"/>
              <w:bottom w:val="nil"/>
              <w:right w:val="nil"/>
            </w:tcBorders>
            <w:shd w:val="clear" w:color="auto" w:fill="auto"/>
            <w:noWrap/>
            <w:vAlign w:val="center"/>
            <w:hideMark/>
          </w:tcPr>
          <w:p w14:paraId="7491C546" w14:textId="77777777" w:rsidR="00313653" w:rsidRPr="003B37F4" w:rsidRDefault="00313653" w:rsidP="00D40B05">
            <w:pPr>
              <w:widowControl/>
              <w:autoSpaceDE/>
              <w:autoSpaceDN/>
              <w:adjustRightInd/>
              <w:rPr>
                <w:rFonts w:cs="Arial"/>
                <w:szCs w:val="20"/>
              </w:rPr>
            </w:pPr>
          </w:p>
        </w:tc>
        <w:tc>
          <w:tcPr>
            <w:tcW w:w="1217" w:type="dxa"/>
            <w:tcBorders>
              <w:top w:val="single" w:sz="8" w:space="0" w:color="auto"/>
              <w:left w:val="nil"/>
              <w:bottom w:val="single" w:sz="8" w:space="0" w:color="auto"/>
              <w:right w:val="nil"/>
            </w:tcBorders>
            <w:shd w:val="clear" w:color="auto" w:fill="auto"/>
            <w:noWrap/>
            <w:vAlign w:val="center"/>
            <w:hideMark/>
          </w:tcPr>
          <w:p w14:paraId="174A14DB" w14:textId="23EEBD19" w:rsidR="00313653" w:rsidRPr="003B37F4" w:rsidRDefault="00313653" w:rsidP="00D40B05">
            <w:pPr>
              <w:widowControl/>
              <w:autoSpaceDE/>
              <w:autoSpaceDN/>
              <w:adjustRightInd/>
              <w:jc w:val="right"/>
              <w:rPr>
                <w:rFonts w:cs="Arial"/>
                <w:szCs w:val="20"/>
              </w:rPr>
            </w:pPr>
            <w:r w:rsidRPr="003B37F4">
              <w:rPr>
                <w:rFonts w:cs="Arial"/>
                <w:szCs w:val="20"/>
              </w:rPr>
              <w:t>1500158</w:t>
            </w:r>
          </w:p>
        </w:tc>
      </w:tr>
      <w:tr w:rsidR="00313653" w:rsidRPr="003B37F4" w14:paraId="48A2E8C6" w14:textId="18D91E7C" w:rsidTr="00313653">
        <w:trPr>
          <w:trHeight w:val="270"/>
        </w:trPr>
        <w:tc>
          <w:tcPr>
            <w:tcW w:w="3473" w:type="dxa"/>
            <w:gridSpan w:val="2"/>
            <w:tcBorders>
              <w:top w:val="nil"/>
              <w:left w:val="nil"/>
              <w:bottom w:val="nil"/>
              <w:right w:val="nil"/>
            </w:tcBorders>
            <w:shd w:val="clear" w:color="auto" w:fill="auto"/>
            <w:noWrap/>
            <w:vAlign w:val="center"/>
            <w:hideMark/>
          </w:tcPr>
          <w:p w14:paraId="217FB8BD" w14:textId="490EE4E3" w:rsidR="00313653" w:rsidRPr="003B37F4" w:rsidRDefault="00313653" w:rsidP="00D40B05">
            <w:pPr>
              <w:widowControl/>
              <w:autoSpaceDE/>
              <w:autoSpaceDN/>
              <w:adjustRightInd/>
              <w:rPr>
                <w:rFonts w:cs="Arial"/>
                <w:szCs w:val="20"/>
              </w:rPr>
            </w:pPr>
          </w:p>
        </w:tc>
        <w:tc>
          <w:tcPr>
            <w:tcW w:w="1217" w:type="dxa"/>
            <w:tcBorders>
              <w:top w:val="nil"/>
              <w:left w:val="nil"/>
              <w:bottom w:val="nil"/>
              <w:right w:val="nil"/>
            </w:tcBorders>
            <w:shd w:val="clear" w:color="auto" w:fill="auto"/>
            <w:noWrap/>
            <w:vAlign w:val="center"/>
            <w:hideMark/>
          </w:tcPr>
          <w:p w14:paraId="3BDEE960" w14:textId="5B6FB54D" w:rsidR="00313653" w:rsidRPr="003B37F4" w:rsidRDefault="00313653" w:rsidP="00D40B05">
            <w:pPr>
              <w:widowControl/>
              <w:autoSpaceDE/>
              <w:autoSpaceDN/>
              <w:adjustRightInd/>
              <w:jc w:val="right"/>
              <w:rPr>
                <w:rFonts w:cs="Arial"/>
                <w:szCs w:val="20"/>
              </w:rPr>
            </w:pPr>
          </w:p>
        </w:tc>
        <w:tc>
          <w:tcPr>
            <w:tcW w:w="884" w:type="dxa"/>
            <w:tcBorders>
              <w:top w:val="nil"/>
              <w:left w:val="nil"/>
              <w:bottom w:val="nil"/>
              <w:right w:val="nil"/>
            </w:tcBorders>
            <w:shd w:val="clear" w:color="auto" w:fill="auto"/>
            <w:noWrap/>
            <w:vAlign w:val="center"/>
            <w:hideMark/>
          </w:tcPr>
          <w:p w14:paraId="71ABE2FC" w14:textId="77777777" w:rsidR="00313653" w:rsidRPr="003B37F4" w:rsidRDefault="00313653" w:rsidP="00D40B05">
            <w:pPr>
              <w:widowControl/>
              <w:autoSpaceDE/>
              <w:autoSpaceDN/>
              <w:adjustRightInd/>
              <w:rPr>
                <w:rFonts w:cs="Arial"/>
                <w:szCs w:val="20"/>
              </w:rPr>
            </w:pPr>
          </w:p>
        </w:tc>
        <w:tc>
          <w:tcPr>
            <w:tcW w:w="1217" w:type="dxa"/>
            <w:tcBorders>
              <w:top w:val="nil"/>
              <w:left w:val="nil"/>
              <w:bottom w:val="nil"/>
              <w:right w:val="nil"/>
            </w:tcBorders>
            <w:shd w:val="clear" w:color="auto" w:fill="auto"/>
            <w:noWrap/>
            <w:vAlign w:val="center"/>
            <w:hideMark/>
          </w:tcPr>
          <w:p w14:paraId="6A2FD8F4" w14:textId="678B26D5" w:rsidR="00313653" w:rsidRPr="003B37F4" w:rsidRDefault="00313653" w:rsidP="00D40B05">
            <w:pPr>
              <w:widowControl/>
              <w:autoSpaceDE/>
              <w:autoSpaceDN/>
              <w:adjustRightInd/>
              <w:jc w:val="right"/>
              <w:rPr>
                <w:rFonts w:cs="Arial"/>
                <w:szCs w:val="20"/>
              </w:rPr>
            </w:pPr>
          </w:p>
        </w:tc>
        <w:tc>
          <w:tcPr>
            <w:tcW w:w="1217" w:type="dxa"/>
            <w:gridSpan w:val="2"/>
            <w:tcBorders>
              <w:top w:val="nil"/>
              <w:left w:val="nil"/>
              <w:bottom w:val="nil"/>
              <w:right w:val="nil"/>
            </w:tcBorders>
            <w:shd w:val="clear" w:color="auto" w:fill="auto"/>
            <w:vAlign w:val="center"/>
          </w:tcPr>
          <w:p w14:paraId="5C732993" w14:textId="77777777" w:rsidR="00313653" w:rsidRPr="003B37F4" w:rsidRDefault="00313653">
            <w:pPr>
              <w:widowControl/>
              <w:autoSpaceDE/>
              <w:autoSpaceDN/>
              <w:adjustRightInd/>
              <w:spacing w:after="200"/>
            </w:pPr>
          </w:p>
        </w:tc>
      </w:tr>
      <w:tr w:rsidR="00313653" w:rsidRPr="003B37F4" w14:paraId="2C75233C" w14:textId="77777777" w:rsidTr="00313653">
        <w:trPr>
          <w:gridAfter w:val="2"/>
          <w:wAfter w:w="1217" w:type="dxa"/>
          <w:trHeight w:val="255"/>
        </w:trPr>
        <w:tc>
          <w:tcPr>
            <w:tcW w:w="3251" w:type="dxa"/>
            <w:tcBorders>
              <w:top w:val="nil"/>
              <w:left w:val="nil"/>
              <w:bottom w:val="nil"/>
              <w:right w:val="nil"/>
            </w:tcBorders>
            <w:shd w:val="clear" w:color="auto" w:fill="auto"/>
            <w:noWrap/>
            <w:vAlign w:val="center"/>
            <w:hideMark/>
          </w:tcPr>
          <w:p w14:paraId="2CC8CF7E" w14:textId="605DADBE" w:rsidR="00313653" w:rsidRPr="003B37F4" w:rsidRDefault="00313653" w:rsidP="00D40B05">
            <w:pPr>
              <w:widowControl/>
              <w:autoSpaceDE/>
              <w:autoSpaceDN/>
              <w:adjustRightInd/>
              <w:rPr>
                <w:rFonts w:cs="Arial"/>
                <w:szCs w:val="20"/>
              </w:rPr>
            </w:pPr>
            <w:r w:rsidRPr="003B37F4">
              <w:rPr>
                <w:rFonts w:cs="Arial"/>
                <w:szCs w:val="20"/>
              </w:rPr>
              <w:t>Increase (Decrease) in Net Position</w:t>
            </w:r>
          </w:p>
        </w:tc>
        <w:tc>
          <w:tcPr>
            <w:tcW w:w="222" w:type="dxa"/>
            <w:tcBorders>
              <w:top w:val="nil"/>
              <w:left w:val="nil"/>
              <w:bottom w:val="nil"/>
              <w:right w:val="nil"/>
            </w:tcBorders>
            <w:shd w:val="clear" w:color="auto" w:fill="auto"/>
            <w:noWrap/>
            <w:vAlign w:val="center"/>
            <w:hideMark/>
          </w:tcPr>
          <w:p w14:paraId="2ECCED44" w14:textId="7C77D1CA" w:rsidR="00313653" w:rsidRPr="003B37F4" w:rsidRDefault="00A6605E" w:rsidP="00D40B05">
            <w:pPr>
              <w:widowControl/>
              <w:autoSpaceDE/>
              <w:autoSpaceDN/>
              <w:adjustRightInd/>
              <w:rPr>
                <w:rFonts w:cs="Arial"/>
                <w:szCs w:val="20"/>
              </w:rPr>
            </w:pPr>
            <w:r w:rsidRPr="003B37F4">
              <w:rPr>
                <w:rFonts w:cs="Arial"/>
                <w:szCs w:val="20"/>
              </w:rPr>
              <w:t>$</w:t>
            </w:r>
            <w:r w:rsidRPr="0008239A">
              <w:rPr>
                <w:rFonts w:cs="Arial"/>
                <w:szCs w:val="20"/>
                <w:highlight w:val="yellow"/>
              </w:rPr>
              <w:t>45213</w:t>
            </w:r>
            <w:r w:rsidR="00313653" w:rsidRPr="003B37F4">
              <w:rPr>
                <w:rFonts w:cs="Arial"/>
                <w:szCs w:val="20"/>
              </w:rPr>
              <w:t xml:space="preserve"> </w:t>
            </w:r>
          </w:p>
        </w:tc>
        <w:tc>
          <w:tcPr>
            <w:tcW w:w="1217" w:type="dxa"/>
            <w:tcBorders>
              <w:top w:val="nil"/>
              <w:left w:val="nil"/>
              <w:bottom w:val="nil"/>
              <w:right w:val="nil"/>
            </w:tcBorders>
            <w:shd w:val="clear" w:color="auto" w:fill="auto"/>
            <w:noWrap/>
            <w:vAlign w:val="center"/>
            <w:hideMark/>
          </w:tcPr>
          <w:p w14:paraId="06B7110A" w14:textId="77777777" w:rsidR="00313653" w:rsidRPr="003B37F4" w:rsidRDefault="00313653" w:rsidP="00D40B05">
            <w:pPr>
              <w:widowControl/>
              <w:autoSpaceDE/>
              <w:autoSpaceDN/>
              <w:adjustRightInd/>
              <w:rPr>
                <w:rFonts w:cs="Arial"/>
                <w:szCs w:val="20"/>
              </w:rPr>
            </w:pPr>
          </w:p>
        </w:tc>
        <w:tc>
          <w:tcPr>
            <w:tcW w:w="884" w:type="dxa"/>
            <w:tcBorders>
              <w:top w:val="nil"/>
              <w:left w:val="nil"/>
              <w:bottom w:val="nil"/>
              <w:right w:val="nil"/>
            </w:tcBorders>
            <w:shd w:val="clear" w:color="auto" w:fill="auto"/>
            <w:noWrap/>
            <w:vAlign w:val="center"/>
            <w:hideMark/>
          </w:tcPr>
          <w:p w14:paraId="38155D1D" w14:textId="07B68CEE" w:rsidR="00313653" w:rsidRPr="003B37F4" w:rsidRDefault="00313653" w:rsidP="00D40B05">
            <w:pPr>
              <w:widowControl/>
              <w:autoSpaceDE/>
              <w:autoSpaceDN/>
              <w:adjustRightInd/>
              <w:rPr>
                <w:rFonts w:cs="Arial"/>
                <w:szCs w:val="20"/>
              </w:rPr>
            </w:pPr>
            <w:r w:rsidRPr="003B37F4">
              <w:rPr>
                <w:rFonts w:cs="Arial"/>
                <w:szCs w:val="20"/>
              </w:rPr>
              <w:t>$(</w:t>
            </w:r>
            <w:r w:rsidR="00F74BE4" w:rsidRPr="00F74BE4">
              <w:rPr>
                <w:rFonts w:cs="Arial"/>
                <w:szCs w:val="20"/>
                <w:highlight w:val="yellow"/>
              </w:rPr>
              <w:t>83688</w:t>
            </w:r>
            <w:r w:rsidRPr="003B37F4">
              <w:rPr>
                <w:rFonts w:cs="Arial"/>
                <w:szCs w:val="20"/>
              </w:rPr>
              <w:t xml:space="preserve">) </w:t>
            </w:r>
          </w:p>
        </w:tc>
        <w:tc>
          <w:tcPr>
            <w:tcW w:w="1217" w:type="dxa"/>
            <w:noWrap/>
            <w:hideMark/>
          </w:tcPr>
          <w:p w14:paraId="26A1E905" w14:textId="77777777" w:rsidR="00313653" w:rsidRPr="003B37F4" w:rsidRDefault="00313653" w:rsidP="00D40B05">
            <w:pPr>
              <w:widowControl/>
              <w:autoSpaceDE/>
              <w:autoSpaceDN/>
              <w:adjustRightInd/>
              <w:rPr>
                <w:rFonts w:cs="Arial"/>
                <w:szCs w:val="20"/>
              </w:rPr>
            </w:pPr>
          </w:p>
        </w:tc>
      </w:tr>
      <w:tr w:rsidR="00313653" w:rsidRPr="003B37F4" w14:paraId="5BE6AEC7" w14:textId="77777777" w:rsidTr="00313653">
        <w:trPr>
          <w:gridAfter w:val="2"/>
          <w:wAfter w:w="1217" w:type="dxa"/>
          <w:trHeight w:val="255"/>
        </w:trPr>
        <w:tc>
          <w:tcPr>
            <w:tcW w:w="3473" w:type="dxa"/>
            <w:gridSpan w:val="2"/>
            <w:tcBorders>
              <w:top w:val="nil"/>
              <w:left w:val="nil"/>
              <w:bottom w:val="nil"/>
              <w:right w:val="nil"/>
            </w:tcBorders>
            <w:shd w:val="clear" w:color="auto" w:fill="auto"/>
            <w:noWrap/>
            <w:vAlign w:val="center"/>
            <w:hideMark/>
          </w:tcPr>
          <w:p w14:paraId="24D5740A" w14:textId="605ED80A" w:rsidR="00313653" w:rsidRPr="003B37F4" w:rsidRDefault="00313653" w:rsidP="00D40B05">
            <w:pPr>
              <w:widowControl/>
              <w:autoSpaceDE/>
              <w:autoSpaceDN/>
              <w:adjustRightInd/>
              <w:rPr>
                <w:rFonts w:cs="Arial"/>
                <w:szCs w:val="20"/>
              </w:rPr>
            </w:pPr>
            <w:r w:rsidRPr="003B37F4">
              <w:rPr>
                <w:rFonts w:cs="Arial"/>
                <w:szCs w:val="20"/>
              </w:rPr>
              <w:t>Net Position, January 1</w:t>
            </w:r>
          </w:p>
        </w:tc>
        <w:tc>
          <w:tcPr>
            <w:tcW w:w="1217" w:type="dxa"/>
            <w:tcBorders>
              <w:top w:val="nil"/>
              <w:left w:val="nil"/>
              <w:bottom w:val="single" w:sz="8" w:space="0" w:color="auto"/>
              <w:right w:val="nil"/>
            </w:tcBorders>
            <w:shd w:val="clear" w:color="auto" w:fill="auto"/>
            <w:noWrap/>
            <w:vAlign w:val="center"/>
            <w:hideMark/>
          </w:tcPr>
          <w:p w14:paraId="2BD162CD" w14:textId="73F6EBA5" w:rsidR="00313653" w:rsidRPr="003B37F4" w:rsidRDefault="00313653" w:rsidP="00D40B05">
            <w:pPr>
              <w:widowControl/>
              <w:autoSpaceDE/>
              <w:autoSpaceDN/>
              <w:adjustRightInd/>
              <w:jc w:val="right"/>
              <w:rPr>
                <w:rFonts w:cs="Arial"/>
                <w:szCs w:val="20"/>
              </w:rPr>
            </w:pPr>
            <w:r w:rsidRPr="003B37F4">
              <w:rPr>
                <w:rFonts w:cs="Arial"/>
                <w:szCs w:val="20"/>
              </w:rPr>
              <w:t>$</w:t>
            </w:r>
            <w:r w:rsidR="00A6605E" w:rsidRPr="003B37F4">
              <w:rPr>
                <w:rFonts w:cs="Arial"/>
                <w:szCs w:val="20"/>
              </w:rPr>
              <w:t>1396203</w:t>
            </w:r>
          </w:p>
        </w:tc>
        <w:tc>
          <w:tcPr>
            <w:tcW w:w="884" w:type="dxa"/>
            <w:tcBorders>
              <w:top w:val="nil"/>
              <w:left w:val="nil"/>
              <w:bottom w:val="nil"/>
              <w:right w:val="nil"/>
            </w:tcBorders>
            <w:shd w:val="clear" w:color="auto" w:fill="auto"/>
            <w:noWrap/>
            <w:vAlign w:val="center"/>
            <w:hideMark/>
          </w:tcPr>
          <w:p w14:paraId="1AC80AAC" w14:textId="77777777" w:rsidR="00313653" w:rsidRPr="003B37F4" w:rsidRDefault="00313653" w:rsidP="00D40B05">
            <w:pPr>
              <w:widowControl/>
              <w:autoSpaceDE/>
              <w:autoSpaceDN/>
              <w:adjustRightInd/>
              <w:rPr>
                <w:rFonts w:cs="Arial"/>
                <w:szCs w:val="20"/>
              </w:rPr>
            </w:pPr>
          </w:p>
        </w:tc>
        <w:tc>
          <w:tcPr>
            <w:tcW w:w="1217" w:type="dxa"/>
            <w:tcBorders>
              <w:top w:val="nil"/>
              <w:left w:val="nil"/>
              <w:bottom w:val="single" w:sz="8" w:space="0" w:color="auto"/>
              <w:right w:val="nil"/>
            </w:tcBorders>
            <w:shd w:val="clear" w:color="auto" w:fill="auto"/>
            <w:noWrap/>
            <w:vAlign w:val="center"/>
            <w:hideMark/>
          </w:tcPr>
          <w:p w14:paraId="074E24CE" w14:textId="1CA54E2D" w:rsidR="00313653" w:rsidRPr="003B37F4" w:rsidRDefault="00313653" w:rsidP="00D40B05">
            <w:pPr>
              <w:widowControl/>
              <w:autoSpaceDE/>
              <w:autoSpaceDN/>
              <w:adjustRightInd/>
              <w:jc w:val="right"/>
              <w:rPr>
                <w:rFonts w:cs="Arial"/>
                <w:szCs w:val="20"/>
              </w:rPr>
            </w:pPr>
            <w:r w:rsidRPr="003B37F4">
              <w:rPr>
                <w:rFonts w:cs="Arial"/>
                <w:szCs w:val="20"/>
              </w:rPr>
              <w:t>$1477513</w:t>
            </w:r>
          </w:p>
        </w:tc>
      </w:tr>
      <w:tr w:rsidR="00313653" w:rsidRPr="003B37F4" w14:paraId="238A357F" w14:textId="77777777" w:rsidTr="00313653">
        <w:trPr>
          <w:gridAfter w:val="2"/>
          <w:wAfter w:w="1217" w:type="dxa"/>
          <w:trHeight w:val="270"/>
        </w:trPr>
        <w:tc>
          <w:tcPr>
            <w:tcW w:w="3473" w:type="dxa"/>
            <w:gridSpan w:val="2"/>
            <w:tcBorders>
              <w:top w:val="nil"/>
              <w:left w:val="nil"/>
              <w:bottom w:val="nil"/>
              <w:right w:val="nil"/>
            </w:tcBorders>
            <w:shd w:val="clear" w:color="auto" w:fill="auto"/>
            <w:noWrap/>
            <w:vAlign w:val="center"/>
            <w:hideMark/>
          </w:tcPr>
          <w:p w14:paraId="3BCBEE1F" w14:textId="0F684F8F" w:rsidR="00313653" w:rsidRPr="003B37F4" w:rsidRDefault="00313653" w:rsidP="00D40B05">
            <w:pPr>
              <w:widowControl/>
              <w:autoSpaceDE/>
              <w:autoSpaceDN/>
              <w:adjustRightInd/>
              <w:rPr>
                <w:rFonts w:cs="Arial"/>
                <w:szCs w:val="20"/>
              </w:rPr>
            </w:pPr>
            <w:r w:rsidRPr="003B37F4">
              <w:rPr>
                <w:rFonts w:cs="Arial"/>
                <w:szCs w:val="20"/>
              </w:rPr>
              <w:t>Net Position, December 31</w:t>
            </w:r>
          </w:p>
        </w:tc>
        <w:tc>
          <w:tcPr>
            <w:tcW w:w="1217" w:type="dxa"/>
            <w:tcBorders>
              <w:top w:val="nil"/>
              <w:left w:val="nil"/>
              <w:bottom w:val="double" w:sz="6" w:space="0" w:color="auto"/>
              <w:right w:val="nil"/>
            </w:tcBorders>
            <w:shd w:val="clear" w:color="auto" w:fill="auto"/>
            <w:noWrap/>
            <w:vAlign w:val="center"/>
            <w:hideMark/>
          </w:tcPr>
          <w:p w14:paraId="197AEF55" w14:textId="61B72AF9" w:rsidR="00313653" w:rsidRPr="003B37F4" w:rsidRDefault="00313653" w:rsidP="00D40B05">
            <w:pPr>
              <w:widowControl/>
              <w:autoSpaceDE/>
              <w:autoSpaceDN/>
              <w:adjustRightInd/>
              <w:jc w:val="right"/>
              <w:rPr>
                <w:rFonts w:cs="Arial"/>
                <w:szCs w:val="20"/>
              </w:rPr>
            </w:pPr>
            <w:r w:rsidRPr="003B37F4">
              <w:rPr>
                <w:rFonts w:cs="Arial"/>
                <w:szCs w:val="20"/>
              </w:rPr>
              <w:t>$1</w:t>
            </w:r>
            <w:r w:rsidR="00A6605E" w:rsidRPr="003B37F4">
              <w:rPr>
                <w:rFonts w:cs="Arial"/>
                <w:szCs w:val="20"/>
              </w:rPr>
              <w:t>441416</w:t>
            </w:r>
            <w:r w:rsidRPr="003B37F4">
              <w:rPr>
                <w:rFonts w:cs="Arial"/>
                <w:szCs w:val="20"/>
              </w:rPr>
              <w:t xml:space="preserve"> </w:t>
            </w:r>
          </w:p>
        </w:tc>
        <w:tc>
          <w:tcPr>
            <w:tcW w:w="884" w:type="dxa"/>
            <w:tcBorders>
              <w:top w:val="nil"/>
              <w:left w:val="nil"/>
              <w:bottom w:val="nil"/>
              <w:right w:val="nil"/>
            </w:tcBorders>
            <w:shd w:val="clear" w:color="auto" w:fill="auto"/>
            <w:noWrap/>
            <w:vAlign w:val="center"/>
            <w:hideMark/>
          </w:tcPr>
          <w:p w14:paraId="1C3C6214" w14:textId="77777777" w:rsidR="00313653" w:rsidRPr="003B37F4" w:rsidRDefault="00313653" w:rsidP="00D40B05">
            <w:pPr>
              <w:widowControl/>
              <w:autoSpaceDE/>
              <w:autoSpaceDN/>
              <w:adjustRightInd/>
              <w:rPr>
                <w:rFonts w:cs="Arial"/>
                <w:szCs w:val="20"/>
              </w:rPr>
            </w:pPr>
          </w:p>
        </w:tc>
        <w:tc>
          <w:tcPr>
            <w:tcW w:w="1217" w:type="dxa"/>
            <w:tcBorders>
              <w:top w:val="nil"/>
              <w:left w:val="nil"/>
              <w:bottom w:val="double" w:sz="6" w:space="0" w:color="auto"/>
              <w:right w:val="nil"/>
            </w:tcBorders>
            <w:shd w:val="clear" w:color="auto" w:fill="auto"/>
            <w:noWrap/>
            <w:vAlign w:val="center"/>
            <w:hideMark/>
          </w:tcPr>
          <w:p w14:paraId="538B56B5" w14:textId="043BAFD6" w:rsidR="00313653" w:rsidRPr="003B37F4" w:rsidRDefault="00313653" w:rsidP="00D40B05">
            <w:pPr>
              <w:widowControl/>
              <w:autoSpaceDE/>
              <w:autoSpaceDN/>
              <w:adjustRightInd/>
              <w:jc w:val="right"/>
              <w:rPr>
                <w:rFonts w:cs="Arial"/>
                <w:szCs w:val="20"/>
              </w:rPr>
            </w:pPr>
            <w:r w:rsidRPr="003B37F4">
              <w:rPr>
                <w:rFonts w:cs="Arial"/>
                <w:szCs w:val="20"/>
              </w:rPr>
              <w:t xml:space="preserve">$1396203 </w:t>
            </w:r>
          </w:p>
        </w:tc>
      </w:tr>
      <w:tr w:rsidR="00313653" w:rsidRPr="003B37F4" w14:paraId="3B45BB58" w14:textId="77777777" w:rsidTr="00313653">
        <w:trPr>
          <w:gridAfter w:val="2"/>
          <w:wAfter w:w="1217" w:type="dxa"/>
          <w:trHeight w:val="270"/>
        </w:trPr>
        <w:tc>
          <w:tcPr>
            <w:tcW w:w="3473" w:type="dxa"/>
            <w:gridSpan w:val="2"/>
            <w:tcBorders>
              <w:top w:val="nil"/>
              <w:left w:val="nil"/>
              <w:bottom w:val="nil"/>
              <w:right w:val="nil"/>
            </w:tcBorders>
            <w:shd w:val="clear" w:color="auto" w:fill="auto"/>
            <w:noWrap/>
            <w:vAlign w:val="center"/>
          </w:tcPr>
          <w:p w14:paraId="08331784" w14:textId="5ACB45BC" w:rsidR="00313653" w:rsidRPr="003B37F4" w:rsidRDefault="00313653" w:rsidP="00D40B05">
            <w:pPr>
              <w:widowControl/>
              <w:autoSpaceDE/>
              <w:autoSpaceDN/>
              <w:adjustRightInd/>
              <w:rPr>
                <w:rFonts w:cs="Arial"/>
                <w:szCs w:val="20"/>
              </w:rPr>
            </w:pPr>
          </w:p>
        </w:tc>
        <w:tc>
          <w:tcPr>
            <w:tcW w:w="1217" w:type="dxa"/>
            <w:tcBorders>
              <w:top w:val="nil"/>
              <w:left w:val="nil"/>
              <w:bottom w:val="double" w:sz="6" w:space="0" w:color="auto"/>
              <w:right w:val="nil"/>
            </w:tcBorders>
            <w:shd w:val="clear" w:color="auto" w:fill="auto"/>
            <w:noWrap/>
            <w:vAlign w:val="center"/>
          </w:tcPr>
          <w:p w14:paraId="2B19D648" w14:textId="503D4D4C" w:rsidR="00313653" w:rsidRPr="003B37F4" w:rsidRDefault="00313653" w:rsidP="00D40B05">
            <w:pPr>
              <w:widowControl/>
              <w:autoSpaceDE/>
              <w:autoSpaceDN/>
              <w:adjustRightInd/>
              <w:jc w:val="right"/>
              <w:rPr>
                <w:rFonts w:cs="Arial"/>
                <w:szCs w:val="20"/>
              </w:rPr>
            </w:pPr>
          </w:p>
        </w:tc>
        <w:tc>
          <w:tcPr>
            <w:tcW w:w="884" w:type="dxa"/>
            <w:tcBorders>
              <w:top w:val="nil"/>
              <w:left w:val="nil"/>
              <w:bottom w:val="nil"/>
              <w:right w:val="nil"/>
            </w:tcBorders>
            <w:shd w:val="clear" w:color="auto" w:fill="auto"/>
            <w:noWrap/>
            <w:vAlign w:val="center"/>
          </w:tcPr>
          <w:p w14:paraId="193E4BE5" w14:textId="77777777" w:rsidR="00313653" w:rsidRPr="003B37F4" w:rsidRDefault="00313653" w:rsidP="00D40B05">
            <w:pPr>
              <w:widowControl/>
              <w:autoSpaceDE/>
              <w:autoSpaceDN/>
              <w:adjustRightInd/>
              <w:rPr>
                <w:rFonts w:cs="Arial"/>
                <w:szCs w:val="20"/>
              </w:rPr>
            </w:pPr>
          </w:p>
        </w:tc>
        <w:tc>
          <w:tcPr>
            <w:tcW w:w="1217" w:type="dxa"/>
            <w:tcBorders>
              <w:top w:val="nil"/>
              <w:left w:val="nil"/>
              <w:bottom w:val="double" w:sz="6" w:space="0" w:color="auto"/>
              <w:right w:val="nil"/>
            </w:tcBorders>
            <w:shd w:val="clear" w:color="auto" w:fill="auto"/>
            <w:noWrap/>
            <w:vAlign w:val="center"/>
          </w:tcPr>
          <w:p w14:paraId="05F24B77" w14:textId="2227142A" w:rsidR="00313653" w:rsidRPr="003B37F4" w:rsidRDefault="00313653" w:rsidP="00D40B05">
            <w:pPr>
              <w:widowControl/>
              <w:autoSpaceDE/>
              <w:autoSpaceDN/>
              <w:adjustRightInd/>
              <w:jc w:val="right"/>
              <w:rPr>
                <w:rFonts w:cs="Arial"/>
                <w:szCs w:val="20"/>
              </w:rPr>
            </w:pPr>
          </w:p>
        </w:tc>
      </w:tr>
    </w:tbl>
    <w:p w14:paraId="7D30F1C3" w14:textId="3EF5B964" w:rsidR="0041766F" w:rsidRPr="003B37F4" w:rsidRDefault="00615EB3" w:rsidP="008C1AA8">
      <w:pPr>
        <w:pStyle w:val="PlainText"/>
        <w:rPr>
          <w:rFonts w:ascii="Arial" w:hAnsi="Arial" w:cs="Arial"/>
        </w:rPr>
        <w:sectPr w:rsidR="0041766F" w:rsidRPr="003B37F4" w:rsidSect="00017A80">
          <w:pgSz w:w="12240" w:h="15840" w:code="1"/>
          <w:pgMar w:top="720" w:right="1440" w:bottom="720" w:left="1440" w:header="720" w:footer="720" w:gutter="0"/>
          <w:cols w:space="720"/>
          <w:docGrid w:linePitch="360"/>
        </w:sectPr>
      </w:pPr>
      <w:r w:rsidRPr="003B37F4">
        <w:rPr>
          <w:rFonts w:ascii="Arial" w:hAnsi="Arial" w:cs="Arial"/>
        </w:rPr>
        <w:br w:type="textWrapping" w:clear="all"/>
      </w:r>
    </w:p>
    <w:p w14:paraId="59B7BB07" w14:textId="0A862925" w:rsidR="0041766F" w:rsidRPr="003B37F4" w:rsidRDefault="0041766F" w:rsidP="0041766F">
      <w:pPr>
        <w:pStyle w:val="PlainText"/>
        <w:jc w:val="both"/>
        <w:rPr>
          <w:rFonts w:ascii="Arial" w:hAnsi="Arial" w:cs="Arial"/>
        </w:rPr>
      </w:pPr>
      <w:r w:rsidRPr="003B37F4">
        <w:rPr>
          <w:rFonts w:ascii="Arial" w:hAnsi="Arial" w:cs="Arial"/>
        </w:rPr>
        <w:lastRenderedPageBreak/>
        <w:t xml:space="preserve">General receipts represent </w:t>
      </w:r>
      <w:r w:rsidR="00762469" w:rsidRPr="003B37F4">
        <w:rPr>
          <w:rFonts w:ascii="Arial" w:hAnsi="Arial" w:cs="Arial"/>
        </w:rPr>
        <w:t>3</w:t>
      </w:r>
      <w:r w:rsidR="00DF0EE2" w:rsidRPr="003B37F4">
        <w:rPr>
          <w:rFonts w:ascii="Arial" w:hAnsi="Arial" w:cs="Arial"/>
        </w:rPr>
        <w:t>1</w:t>
      </w:r>
      <w:r w:rsidRPr="003B37F4">
        <w:rPr>
          <w:rFonts w:ascii="Arial" w:hAnsi="Arial" w:cs="Arial"/>
        </w:rPr>
        <w:t xml:space="preserve"> percent of the Health District’s total receipts, and of this amount, </w:t>
      </w:r>
      <w:r w:rsidR="00762469" w:rsidRPr="003B37F4">
        <w:rPr>
          <w:rFonts w:ascii="Arial" w:hAnsi="Arial" w:cs="Arial"/>
        </w:rPr>
        <w:t>3</w:t>
      </w:r>
      <w:r w:rsidR="00DF0EE2" w:rsidRPr="003B37F4">
        <w:rPr>
          <w:rFonts w:ascii="Arial" w:hAnsi="Arial" w:cs="Arial"/>
        </w:rPr>
        <w:t>5</w:t>
      </w:r>
      <w:r w:rsidR="0067049B" w:rsidRPr="003B37F4">
        <w:rPr>
          <w:rFonts w:ascii="Arial" w:hAnsi="Arial" w:cs="Arial"/>
        </w:rPr>
        <w:t xml:space="preserve"> </w:t>
      </w:r>
      <w:r w:rsidRPr="003B37F4">
        <w:rPr>
          <w:rFonts w:ascii="Arial" w:hAnsi="Arial" w:cs="Arial"/>
        </w:rPr>
        <w:t xml:space="preserve">percent are local taxes (revenue from subdivisions) provided by each municipality and District in the county.  Levy dollars represent </w:t>
      </w:r>
      <w:r w:rsidR="00762469" w:rsidRPr="003B37F4">
        <w:rPr>
          <w:rFonts w:ascii="Arial" w:hAnsi="Arial" w:cs="Arial"/>
        </w:rPr>
        <w:t>6</w:t>
      </w:r>
      <w:r w:rsidR="00DF0EE2" w:rsidRPr="003B37F4">
        <w:rPr>
          <w:rFonts w:ascii="Arial" w:hAnsi="Arial" w:cs="Arial"/>
        </w:rPr>
        <w:t>0</w:t>
      </w:r>
      <w:r w:rsidRPr="003B37F4">
        <w:rPr>
          <w:rFonts w:ascii="Arial" w:hAnsi="Arial" w:cs="Arial"/>
        </w:rPr>
        <w:t xml:space="preserve"> percent of general receipts, with the remaining amount at less than </w:t>
      </w:r>
      <w:r w:rsidR="00DF0EE2" w:rsidRPr="003B37F4">
        <w:rPr>
          <w:rFonts w:ascii="Arial" w:hAnsi="Arial" w:cs="Arial"/>
        </w:rPr>
        <w:t>5</w:t>
      </w:r>
      <w:r w:rsidR="006E34A2" w:rsidRPr="003B37F4">
        <w:rPr>
          <w:rFonts w:ascii="Arial" w:hAnsi="Arial" w:cs="Arial"/>
        </w:rPr>
        <w:t xml:space="preserve"> </w:t>
      </w:r>
      <w:r w:rsidRPr="003B37F4">
        <w:rPr>
          <w:rFonts w:ascii="Arial" w:hAnsi="Arial" w:cs="Arial"/>
        </w:rPr>
        <w:t>percent provided by the State Subsidy.</w:t>
      </w:r>
    </w:p>
    <w:p w14:paraId="788ED8AD" w14:textId="77777777" w:rsidR="0041766F" w:rsidRPr="003B37F4" w:rsidRDefault="0041766F" w:rsidP="0041766F">
      <w:pPr>
        <w:pStyle w:val="PlainText"/>
        <w:spacing w:line="216" w:lineRule="auto"/>
        <w:jc w:val="both"/>
        <w:rPr>
          <w:rFonts w:ascii="Arial" w:hAnsi="Arial" w:cs="Arial"/>
        </w:rPr>
      </w:pPr>
    </w:p>
    <w:p w14:paraId="1B1B5C96" w14:textId="0C802178" w:rsidR="0041766F" w:rsidRPr="003B37F4" w:rsidRDefault="0041766F" w:rsidP="0041766F">
      <w:pPr>
        <w:pStyle w:val="PlainText"/>
        <w:jc w:val="both"/>
        <w:rPr>
          <w:rFonts w:ascii="Arial" w:hAnsi="Arial" w:cs="Arial"/>
        </w:rPr>
      </w:pPr>
      <w:r w:rsidRPr="003B37F4">
        <w:rPr>
          <w:rFonts w:ascii="Arial" w:hAnsi="Arial" w:cs="Arial"/>
        </w:rPr>
        <w:t xml:space="preserve">Disbursements for the Health District represent the overhead costs of running the Health District and the support services provided for the other District activities.  These include primarily the costs of personnel and personnel support </w:t>
      </w:r>
      <w:r w:rsidR="00020706" w:rsidRPr="003B37F4">
        <w:rPr>
          <w:rFonts w:ascii="Arial" w:hAnsi="Arial" w:cs="Arial"/>
        </w:rPr>
        <w:t>at</w:t>
      </w:r>
      <w:r w:rsidR="00E17F1E" w:rsidRPr="003B37F4">
        <w:rPr>
          <w:rFonts w:ascii="Arial" w:hAnsi="Arial" w:cs="Arial"/>
        </w:rPr>
        <w:t xml:space="preserve"> </w:t>
      </w:r>
      <w:r w:rsidR="00A67ACE" w:rsidRPr="003B37F4">
        <w:rPr>
          <w:rFonts w:ascii="Arial" w:hAnsi="Arial" w:cs="Arial"/>
        </w:rPr>
        <w:t>7</w:t>
      </w:r>
      <w:r w:rsidR="00DF0EE2" w:rsidRPr="003B37F4">
        <w:rPr>
          <w:rFonts w:ascii="Arial" w:hAnsi="Arial" w:cs="Arial"/>
        </w:rPr>
        <w:t>4</w:t>
      </w:r>
      <w:r w:rsidRPr="003B37F4">
        <w:rPr>
          <w:rFonts w:ascii="Arial" w:hAnsi="Arial" w:cs="Arial"/>
        </w:rPr>
        <w:t xml:space="preserve"> percent of total disbursements, as the primary product of the Health District is preventive health services which are labor-intensive.</w:t>
      </w:r>
    </w:p>
    <w:p w14:paraId="03BBA42A" w14:textId="77777777" w:rsidR="0041766F" w:rsidRPr="003B37F4" w:rsidRDefault="0041766F" w:rsidP="0041766F">
      <w:pPr>
        <w:pStyle w:val="PlainText"/>
        <w:spacing w:line="216" w:lineRule="auto"/>
        <w:jc w:val="both"/>
        <w:rPr>
          <w:rFonts w:ascii="Arial" w:hAnsi="Arial" w:cs="Arial"/>
        </w:rPr>
      </w:pPr>
    </w:p>
    <w:p w14:paraId="50957F2D" w14:textId="047C2F3E" w:rsidR="0041766F" w:rsidRPr="003B37F4" w:rsidRDefault="0041766F" w:rsidP="0041766F">
      <w:pPr>
        <w:pStyle w:val="PlainText"/>
        <w:jc w:val="both"/>
        <w:rPr>
          <w:rFonts w:ascii="Arial" w:hAnsi="Arial" w:cs="Arial"/>
        </w:rPr>
      </w:pPr>
      <w:r w:rsidRPr="003B37F4">
        <w:rPr>
          <w:rFonts w:ascii="Arial" w:hAnsi="Arial" w:cs="Arial"/>
        </w:rPr>
        <w:t xml:space="preserve">Capital outlay signifies the disbursements for equipment for use in administering the Health District’s services. There were no significant equipment purchases during </w:t>
      </w:r>
      <w:r w:rsidR="005A3182" w:rsidRPr="003B37F4">
        <w:rPr>
          <w:rFonts w:ascii="Arial" w:hAnsi="Arial" w:cs="Arial"/>
        </w:rPr>
        <w:t>20</w:t>
      </w:r>
      <w:r w:rsidR="00A67ACE" w:rsidRPr="003B37F4">
        <w:rPr>
          <w:rFonts w:ascii="Arial" w:hAnsi="Arial" w:cs="Arial"/>
        </w:rPr>
        <w:t>2</w:t>
      </w:r>
      <w:r w:rsidR="00E07A08" w:rsidRPr="003B37F4">
        <w:rPr>
          <w:rFonts w:ascii="Arial" w:hAnsi="Arial" w:cs="Arial"/>
        </w:rPr>
        <w:t>2</w:t>
      </w:r>
      <w:r w:rsidRPr="003B37F4">
        <w:rPr>
          <w:rFonts w:ascii="Arial" w:hAnsi="Arial" w:cs="Arial"/>
        </w:rPr>
        <w:t>, with the tot</w:t>
      </w:r>
      <w:r w:rsidR="00E971C5" w:rsidRPr="003B37F4">
        <w:rPr>
          <w:rFonts w:ascii="Arial" w:hAnsi="Arial" w:cs="Arial"/>
        </w:rPr>
        <w:t xml:space="preserve">al equipment purchases at </w:t>
      </w:r>
      <w:r w:rsidR="0067049B" w:rsidRPr="003B37F4">
        <w:rPr>
          <w:rFonts w:ascii="Arial" w:hAnsi="Arial" w:cs="Arial"/>
        </w:rPr>
        <w:t xml:space="preserve">less than </w:t>
      </w:r>
      <w:r w:rsidR="00E07A08" w:rsidRPr="003B37F4">
        <w:rPr>
          <w:rFonts w:ascii="Arial" w:hAnsi="Arial" w:cs="Arial"/>
        </w:rPr>
        <w:t>3</w:t>
      </w:r>
      <w:r w:rsidRPr="003B37F4">
        <w:rPr>
          <w:rFonts w:ascii="Arial" w:hAnsi="Arial" w:cs="Arial"/>
        </w:rPr>
        <w:t xml:space="preserve"> percent of all disbursements. </w:t>
      </w:r>
    </w:p>
    <w:p w14:paraId="123CC9BA" w14:textId="77777777" w:rsidR="0041766F" w:rsidRPr="003B37F4" w:rsidRDefault="0041766F" w:rsidP="00184E6A">
      <w:pPr>
        <w:pStyle w:val="Heading2"/>
      </w:pPr>
      <w:bookmarkStart w:id="20" w:name="_Toc284945512"/>
      <w:bookmarkStart w:id="21" w:name="_Toc315938404"/>
      <w:r w:rsidRPr="003B37F4">
        <w:t>Governmental Activities</w:t>
      </w:r>
      <w:bookmarkEnd w:id="20"/>
      <w:bookmarkEnd w:id="21"/>
    </w:p>
    <w:p w14:paraId="41139905" w14:textId="77777777" w:rsidR="0041766F" w:rsidRPr="003B37F4" w:rsidRDefault="0041766F" w:rsidP="0041766F">
      <w:pPr>
        <w:pStyle w:val="PlainText"/>
        <w:spacing w:line="216" w:lineRule="auto"/>
        <w:jc w:val="both"/>
        <w:rPr>
          <w:rFonts w:ascii="Arial" w:hAnsi="Arial" w:cs="Arial"/>
        </w:rPr>
      </w:pPr>
    </w:p>
    <w:p w14:paraId="27E2345A" w14:textId="77777777" w:rsidR="0041766F" w:rsidRPr="003B37F4" w:rsidRDefault="0041766F" w:rsidP="0041766F">
      <w:pPr>
        <w:pStyle w:val="PlainText"/>
        <w:jc w:val="both"/>
        <w:rPr>
          <w:rFonts w:ascii="Arial" w:hAnsi="Arial" w:cs="Arial"/>
        </w:rPr>
      </w:pPr>
      <w:r w:rsidRPr="003B37F4">
        <w:rPr>
          <w:rFonts w:ascii="Arial" w:hAnsi="Arial" w:cs="Arial"/>
        </w:rPr>
        <w:t xml:space="preserve">If you look at the Statement of Activities </w:t>
      </w:r>
      <w:r w:rsidR="005927A8" w:rsidRPr="003B37F4">
        <w:rPr>
          <w:rFonts w:ascii="Arial" w:hAnsi="Arial" w:cs="Arial"/>
        </w:rPr>
        <w:t>on the next page</w:t>
      </w:r>
      <w:r w:rsidRPr="003B37F4">
        <w:rPr>
          <w:rFonts w:ascii="Arial" w:hAnsi="Arial" w:cs="Arial"/>
        </w:rPr>
        <w:t xml:space="preserve">, you will see that the first column lists the major services provided by the Health District.  The next column identifies the costs of providing these services.  The major program disbursements for governmental activities are for Public Health services.  </w:t>
      </w:r>
    </w:p>
    <w:p w14:paraId="2BFF2AE0" w14:textId="77777777" w:rsidR="0041766F" w:rsidRPr="003B37F4" w:rsidRDefault="0041766F" w:rsidP="0041766F">
      <w:pPr>
        <w:pStyle w:val="PlainText"/>
        <w:spacing w:line="216" w:lineRule="auto"/>
        <w:jc w:val="both"/>
        <w:rPr>
          <w:rFonts w:ascii="Arial" w:hAnsi="Arial" w:cs="Arial"/>
        </w:rPr>
      </w:pPr>
    </w:p>
    <w:p w14:paraId="771CA678" w14:textId="77777777" w:rsidR="0041766F" w:rsidRPr="003B37F4" w:rsidRDefault="0041766F" w:rsidP="0041766F">
      <w:pPr>
        <w:pStyle w:val="PlainText"/>
        <w:jc w:val="both"/>
        <w:rPr>
          <w:rFonts w:ascii="Arial" w:hAnsi="Arial" w:cs="Arial"/>
        </w:rPr>
      </w:pPr>
      <w:r w:rsidRPr="003B37F4">
        <w:rPr>
          <w:rFonts w:ascii="Arial" w:hAnsi="Arial" w:cs="Arial"/>
        </w:rPr>
        <w:t>The Net Cost (Disbursement) column compares the program receipts to the cost of the service.  This “net cost” amount represents the cost of the service that ends up being paid from money provided by local taxpayers.  These net costs are paid from the general receipts that are presented at the bottom of the Statement.  A comparison between the total cost of services and the net cost is presented in Table 3.</w:t>
      </w:r>
      <w:r w:rsidR="006262B5" w:rsidRPr="003B37F4">
        <w:rPr>
          <w:rFonts w:ascii="Arial" w:hAnsi="Arial" w:cs="Arial"/>
        </w:rPr>
        <w:t xml:space="preserve">  All grants (IAP, WIC,</w:t>
      </w:r>
      <w:r w:rsidRPr="003B37F4">
        <w:rPr>
          <w:rFonts w:ascii="Arial" w:hAnsi="Arial" w:cs="Arial"/>
        </w:rPr>
        <w:t xml:space="preserve"> and Public Health </w:t>
      </w:r>
      <w:r w:rsidR="00EC3830" w:rsidRPr="003B37F4">
        <w:rPr>
          <w:rFonts w:ascii="Arial" w:hAnsi="Arial" w:cs="Arial"/>
        </w:rPr>
        <w:t>Emergency Preparedness</w:t>
      </w:r>
      <w:r w:rsidRPr="003B37F4">
        <w:rPr>
          <w:rFonts w:ascii="Arial" w:hAnsi="Arial" w:cs="Arial"/>
        </w:rPr>
        <w:t>) have a zero net cost to the health district, in 200</w:t>
      </w:r>
      <w:r w:rsidR="00E971C5" w:rsidRPr="003B37F4">
        <w:rPr>
          <w:rFonts w:ascii="Arial" w:hAnsi="Arial" w:cs="Arial"/>
        </w:rPr>
        <w:t>8</w:t>
      </w:r>
      <w:r w:rsidRPr="003B37F4">
        <w:rPr>
          <w:rFonts w:ascii="Arial" w:hAnsi="Arial" w:cs="Arial"/>
        </w:rPr>
        <w:t xml:space="preserve"> all grant funds were separated from one general fund; any apparent net costs to the district are not real and should be attributed to changes in accounting practices, carryover, and differing fiscal years.</w:t>
      </w:r>
    </w:p>
    <w:p w14:paraId="212B344B" w14:textId="77777777" w:rsidR="00D24584" w:rsidRPr="003B37F4" w:rsidRDefault="00D24584">
      <w:pPr>
        <w:widowControl/>
        <w:autoSpaceDE/>
        <w:autoSpaceDN/>
        <w:adjustRightInd/>
        <w:spacing w:after="200"/>
        <w:rPr>
          <w:rFonts w:cs="Arial"/>
          <w:szCs w:val="20"/>
        </w:rPr>
      </w:pPr>
      <w:r w:rsidRPr="003B37F4">
        <w:rPr>
          <w:rFonts w:cs="Arial"/>
        </w:rPr>
        <w:br w:type="page"/>
      </w:r>
    </w:p>
    <w:p w14:paraId="1181EDE7" w14:textId="77777777" w:rsidR="0041766F" w:rsidRPr="003B37F4" w:rsidRDefault="0041766F" w:rsidP="0041766F">
      <w:pPr>
        <w:pStyle w:val="PlainText"/>
        <w:spacing w:line="216" w:lineRule="auto"/>
        <w:jc w:val="both"/>
        <w:rPr>
          <w:rFonts w:ascii="Arial" w:hAnsi="Arial" w:cs="Arial"/>
        </w:rPr>
      </w:pPr>
    </w:p>
    <w:p w14:paraId="4090636D" w14:textId="77777777" w:rsidR="00FE37F6" w:rsidRPr="003B37F4" w:rsidRDefault="00184E6A" w:rsidP="00184E6A">
      <w:pPr>
        <w:pStyle w:val="Heading3"/>
      </w:pPr>
      <w:bookmarkStart w:id="22" w:name="_Toc284945513"/>
      <w:bookmarkStart w:id="23" w:name="_Toc315938405"/>
      <w:r w:rsidRPr="003B37F4">
        <w:t>Table 3 Net Cost of Services</w:t>
      </w:r>
      <w:bookmarkEnd w:id="22"/>
      <w:bookmarkEnd w:id="23"/>
    </w:p>
    <w:p w14:paraId="7E432263" w14:textId="77777777" w:rsidR="00FE37F6" w:rsidRPr="003B37F4" w:rsidRDefault="00FE37F6" w:rsidP="0041766F">
      <w:pPr>
        <w:pStyle w:val="PlainText"/>
        <w:rPr>
          <w:rFonts w:ascii="Arial" w:hAnsi="Arial" w:cs="Arial"/>
          <w:b/>
        </w:rPr>
      </w:pPr>
    </w:p>
    <w:tbl>
      <w:tblPr>
        <w:tblW w:w="7348" w:type="dxa"/>
        <w:tblInd w:w="111" w:type="dxa"/>
        <w:tblLook w:val="04A0" w:firstRow="1" w:lastRow="0" w:firstColumn="1" w:lastColumn="0" w:noHBand="0" w:noVBand="1"/>
      </w:tblPr>
      <w:tblGrid>
        <w:gridCol w:w="3323"/>
        <w:gridCol w:w="1661"/>
        <w:gridCol w:w="222"/>
        <w:gridCol w:w="222"/>
        <w:gridCol w:w="1920"/>
      </w:tblGrid>
      <w:tr w:rsidR="00EC3830" w:rsidRPr="003B37F4" w14:paraId="54BE50C9" w14:textId="77777777" w:rsidTr="00B37CE0">
        <w:trPr>
          <w:trHeight w:val="300"/>
        </w:trPr>
        <w:tc>
          <w:tcPr>
            <w:tcW w:w="3323" w:type="dxa"/>
            <w:tcBorders>
              <w:top w:val="nil"/>
              <w:left w:val="nil"/>
              <w:bottom w:val="nil"/>
              <w:right w:val="nil"/>
            </w:tcBorders>
            <w:shd w:val="clear" w:color="auto" w:fill="auto"/>
            <w:noWrap/>
            <w:vAlign w:val="bottom"/>
            <w:hideMark/>
          </w:tcPr>
          <w:p w14:paraId="708B2F57" w14:textId="77777777" w:rsidR="00EC3830" w:rsidRPr="003B37F4" w:rsidRDefault="00EC3830">
            <w:pPr>
              <w:rPr>
                <w:rFonts w:cs="Arial"/>
                <w:szCs w:val="20"/>
              </w:rPr>
            </w:pPr>
          </w:p>
        </w:tc>
        <w:tc>
          <w:tcPr>
            <w:tcW w:w="1661" w:type="dxa"/>
            <w:tcBorders>
              <w:top w:val="nil"/>
              <w:left w:val="nil"/>
              <w:bottom w:val="nil"/>
              <w:right w:val="nil"/>
            </w:tcBorders>
            <w:shd w:val="clear" w:color="auto" w:fill="auto"/>
            <w:noWrap/>
            <w:vAlign w:val="bottom"/>
            <w:hideMark/>
          </w:tcPr>
          <w:p w14:paraId="26A414B8" w14:textId="77777777" w:rsidR="00EC3830" w:rsidRPr="003B37F4" w:rsidRDefault="00EC3830">
            <w:pPr>
              <w:jc w:val="center"/>
              <w:rPr>
                <w:rFonts w:cs="Arial"/>
                <w:b/>
                <w:szCs w:val="20"/>
              </w:rPr>
            </w:pPr>
            <w:r w:rsidRPr="003B37F4">
              <w:rPr>
                <w:rFonts w:cs="Arial"/>
                <w:b/>
                <w:szCs w:val="20"/>
              </w:rPr>
              <w:t>Cash</w:t>
            </w:r>
          </w:p>
        </w:tc>
        <w:tc>
          <w:tcPr>
            <w:tcW w:w="222" w:type="dxa"/>
            <w:tcBorders>
              <w:top w:val="nil"/>
              <w:left w:val="nil"/>
              <w:bottom w:val="nil"/>
              <w:right w:val="nil"/>
            </w:tcBorders>
            <w:shd w:val="clear" w:color="auto" w:fill="auto"/>
            <w:noWrap/>
            <w:vAlign w:val="bottom"/>
            <w:hideMark/>
          </w:tcPr>
          <w:p w14:paraId="7FBB90E9" w14:textId="77777777" w:rsidR="00EC3830" w:rsidRPr="003B37F4" w:rsidRDefault="00EC3830">
            <w:pPr>
              <w:jc w:val="center"/>
              <w:rPr>
                <w:rFonts w:cs="Arial"/>
                <w:b/>
                <w:bCs/>
                <w:i/>
                <w:iCs/>
                <w:szCs w:val="20"/>
              </w:rPr>
            </w:pPr>
          </w:p>
        </w:tc>
        <w:tc>
          <w:tcPr>
            <w:tcW w:w="222" w:type="dxa"/>
            <w:tcBorders>
              <w:top w:val="nil"/>
              <w:left w:val="nil"/>
              <w:bottom w:val="nil"/>
              <w:right w:val="nil"/>
            </w:tcBorders>
            <w:shd w:val="clear" w:color="auto" w:fill="auto"/>
            <w:noWrap/>
            <w:vAlign w:val="bottom"/>
            <w:hideMark/>
          </w:tcPr>
          <w:p w14:paraId="59B33214" w14:textId="77777777" w:rsidR="00EC3830" w:rsidRPr="003B37F4" w:rsidRDefault="00EC3830">
            <w:pPr>
              <w:jc w:val="center"/>
              <w:rPr>
                <w:rFonts w:cs="Arial"/>
                <w:b/>
                <w:bCs/>
                <w:i/>
                <w:iCs/>
                <w:szCs w:val="20"/>
              </w:rPr>
            </w:pPr>
          </w:p>
        </w:tc>
        <w:tc>
          <w:tcPr>
            <w:tcW w:w="1920" w:type="dxa"/>
            <w:tcBorders>
              <w:top w:val="nil"/>
              <w:left w:val="nil"/>
              <w:bottom w:val="nil"/>
              <w:right w:val="nil"/>
            </w:tcBorders>
            <w:shd w:val="clear" w:color="auto" w:fill="auto"/>
            <w:noWrap/>
            <w:vAlign w:val="bottom"/>
            <w:hideMark/>
          </w:tcPr>
          <w:p w14:paraId="4A9517C9" w14:textId="77777777" w:rsidR="00EC3830" w:rsidRPr="003B37F4" w:rsidRDefault="00EC3830">
            <w:pPr>
              <w:jc w:val="center"/>
              <w:rPr>
                <w:rFonts w:cs="Arial"/>
                <w:b/>
                <w:szCs w:val="20"/>
              </w:rPr>
            </w:pPr>
            <w:r w:rsidRPr="003B37F4">
              <w:rPr>
                <w:rFonts w:cs="Arial"/>
                <w:b/>
                <w:szCs w:val="20"/>
              </w:rPr>
              <w:t>Net Cost</w:t>
            </w:r>
          </w:p>
        </w:tc>
      </w:tr>
      <w:tr w:rsidR="00EC3830" w:rsidRPr="003B37F4" w14:paraId="41853266" w14:textId="77777777" w:rsidTr="00B37CE0">
        <w:trPr>
          <w:trHeight w:val="300"/>
        </w:trPr>
        <w:tc>
          <w:tcPr>
            <w:tcW w:w="3323" w:type="dxa"/>
            <w:tcBorders>
              <w:top w:val="nil"/>
              <w:left w:val="nil"/>
              <w:bottom w:val="nil"/>
              <w:right w:val="nil"/>
            </w:tcBorders>
            <w:shd w:val="clear" w:color="auto" w:fill="auto"/>
            <w:noWrap/>
            <w:vAlign w:val="bottom"/>
            <w:hideMark/>
          </w:tcPr>
          <w:p w14:paraId="242E15E6" w14:textId="77777777" w:rsidR="00EC3830" w:rsidRPr="003B37F4" w:rsidRDefault="00EC3830">
            <w:pPr>
              <w:rPr>
                <w:rFonts w:cs="Arial"/>
                <w:szCs w:val="20"/>
              </w:rPr>
            </w:pPr>
          </w:p>
        </w:tc>
        <w:tc>
          <w:tcPr>
            <w:tcW w:w="1661" w:type="dxa"/>
            <w:tcBorders>
              <w:top w:val="nil"/>
              <w:left w:val="nil"/>
              <w:bottom w:val="single" w:sz="4" w:space="0" w:color="auto"/>
              <w:right w:val="nil"/>
            </w:tcBorders>
            <w:shd w:val="clear" w:color="auto" w:fill="auto"/>
            <w:noWrap/>
            <w:vAlign w:val="bottom"/>
            <w:hideMark/>
          </w:tcPr>
          <w:p w14:paraId="170ADB18" w14:textId="77777777" w:rsidR="00EC3830" w:rsidRPr="003B37F4" w:rsidRDefault="00EC3830">
            <w:pPr>
              <w:jc w:val="center"/>
              <w:rPr>
                <w:rFonts w:cs="Arial"/>
                <w:b/>
                <w:szCs w:val="20"/>
              </w:rPr>
            </w:pPr>
            <w:r w:rsidRPr="003B37F4">
              <w:rPr>
                <w:rFonts w:cs="Arial"/>
                <w:b/>
                <w:szCs w:val="20"/>
              </w:rPr>
              <w:t>Disbursements</w:t>
            </w:r>
          </w:p>
        </w:tc>
        <w:tc>
          <w:tcPr>
            <w:tcW w:w="222" w:type="dxa"/>
            <w:tcBorders>
              <w:top w:val="nil"/>
              <w:left w:val="nil"/>
              <w:bottom w:val="nil"/>
              <w:right w:val="nil"/>
            </w:tcBorders>
            <w:shd w:val="clear" w:color="auto" w:fill="auto"/>
            <w:noWrap/>
            <w:vAlign w:val="bottom"/>
            <w:hideMark/>
          </w:tcPr>
          <w:p w14:paraId="1683E696" w14:textId="77777777" w:rsidR="00EC3830" w:rsidRPr="003B37F4" w:rsidRDefault="00EC3830">
            <w:pPr>
              <w:jc w:val="center"/>
              <w:rPr>
                <w:rFonts w:cs="Arial"/>
                <w:b/>
                <w:bCs/>
                <w:i/>
                <w:iCs/>
                <w:szCs w:val="20"/>
              </w:rPr>
            </w:pPr>
          </w:p>
        </w:tc>
        <w:tc>
          <w:tcPr>
            <w:tcW w:w="222" w:type="dxa"/>
            <w:tcBorders>
              <w:top w:val="nil"/>
              <w:left w:val="nil"/>
              <w:bottom w:val="nil"/>
              <w:right w:val="nil"/>
            </w:tcBorders>
            <w:shd w:val="clear" w:color="auto" w:fill="auto"/>
            <w:noWrap/>
            <w:vAlign w:val="bottom"/>
            <w:hideMark/>
          </w:tcPr>
          <w:p w14:paraId="5D31CB2D" w14:textId="77777777" w:rsidR="00EC3830" w:rsidRPr="003B37F4" w:rsidRDefault="00EC3830">
            <w:pPr>
              <w:jc w:val="center"/>
              <w:rPr>
                <w:rFonts w:cs="Arial"/>
                <w:b/>
                <w:bCs/>
                <w:i/>
                <w:iCs/>
                <w:szCs w:val="20"/>
              </w:rPr>
            </w:pPr>
          </w:p>
        </w:tc>
        <w:tc>
          <w:tcPr>
            <w:tcW w:w="1920" w:type="dxa"/>
            <w:tcBorders>
              <w:top w:val="nil"/>
              <w:left w:val="nil"/>
              <w:bottom w:val="single" w:sz="4" w:space="0" w:color="auto"/>
              <w:right w:val="nil"/>
            </w:tcBorders>
            <w:shd w:val="clear" w:color="auto" w:fill="auto"/>
            <w:noWrap/>
            <w:vAlign w:val="bottom"/>
            <w:hideMark/>
          </w:tcPr>
          <w:p w14:paraId="5A4C7083" w14:textId="77777777" w:rsidR="00EC3830" w:rsidRPr="003B37F4" w:rsidRDefault="00EC3830">
            <w:pPr>
              <w:jc w:val="center"/>
              <w:rPr>
                <w:rFonts w:cs="Arial"/>
                <w:b/>
                <w:szCs w:val="20"/>
              </w:rPr>
            </w:pPr>
            <w:r w:rsidRPr="003B37F4">
              <w:rPr>
                <w:rFonts w:cs="Arial"/>
                <w:b/>
                <w:szCs w:val="20"/>
              </w:rPr>
              <w:t>of Services</w:t>
            </w:r>
          </w:p>
        </w:tc>
      </w:tr>
      <w:tr w:rsidR="00EC3830" w:rsidRPr="003B37F4" w14:paraId="33CD745A" w14:textId="77777777" w:rsidTr="00B37CE0">
        <w:trPr>
          <w:trHeight w:val="300"/>
        </w:trPr>
        <w:tc>
          <w:tcPr>
            <w:tcW w:w="3323" w:type="dxa"/>
            <w:tcBorders>
              <w:top w:val="nil"/>
              <w:left w:val="nil"/>
              <w:bottom w:val="nil"/>
              <w:right w:val="nil"/>
            </w:tcBorders>
            <w:shd w:val="clear" w:color="auto" w:fill="auto"/>
            <w:noWrap/>
            <w:vAlign w:val="bottom"/>
            <w:hideMark/>
          </w:tcPr>
          <w:p w14:paraId="2DEB409B" w14:textId="77777777" w:rsidR="00EC3830" w:rsidRPr="003B37F4" w:rsidRDefault="00EC3830">
            <w:pPr>
              <w:rPr>
                <w:rFonts w:cs="Arial"/>
                <w:b/>
                <w:bCs/>
                <w:szCs w:val="20"/>
              </w:rPr>
            </w:pPr>
            <w:r w:rsidRPr="003B37F4">
              <w:rPr>
                <w:rFonts w:cs="Arial"/>
                <w:b/>
                <w:bCs/>
                <w:szCs w:val="20"/>
              </w:rPr>
              <w:t>Governmental Activities</w:t>
            </w:r>
          </w:p>
        </w:tc>
        <w:tc>
          <w:tcPr>
            <w:tcW w:w="1661" w:type="dxa"/>
            <w:tcBorders>
              <w:top w:val="nil"/>
              <w:left w:val="nil"/>
              <w:bottom w:val="nil"/>
              <w:right w:val="nil"/>
            </w:tcBorders>
            <w:shd w:val="clear" w:color="auto" w:fill="auto"/>
            <w:noWrap/>
            <w:vAlign w:val="bottom"/>
            <w:hideMark/>
          </w:tcPr>
          <w:p w14:paraId="351A5413" w14:textId="77777777" w:rsidR="00EC3830" w:rsidRPr="003B37F4" w:rsidRDefault="00EC3830">
            <w:pPr>
              <w:rPr>
                <w:rFonts w:cs="Arial"/>
                <w:szCs w:val="20"/>
              </w:rPr>
            </w:pPr>
          </w:p>
        </w:tc>
        <w:tc>
          <w:tcPr>
            <w:tcW w:w="222" w:type="dxa"/>
            <w:tcBorders>
              <w:top w:val="nil"/>
              <w:left w:val="nil"/>
              <w:bottom w:val="nil"/>
              <w:right w:val="nil"/>
            </w:tcBorders>
            <w:shd w:val="clear" w:color="auto" w:fill="auto"/>
            <w:noWrap/>
            <w:vAlign w:val="bottom"/>
            <w:hideMark/>
          </w:tcPr>
          <w:p w14:paraId="4E18279B" w14:textId="77777777" w:rsidR="00EC3830" w:rsidRPr="003B37F4" w:rsidRDefault="00EC3830">
            <w:pPr>
              <w:rPr>
                <w:rFonts w:cs="Arial"/>
                <w:b/>
                <w:bCs/>
                <w:i/>
                <w:iCs/>
                <w:szCs w:val="20"/>
              </w:rPr>
            </w:pPr>
          </w:p>
        </w:tc>
        <w:tc>
          <w:tcPr>
            <w:tcW w:w="222" w:type="dxa"/>
            <w:tcBorders>
              <w:top w:val="nil"/>
              <w:left w:val="nil"/>
              <w:bottom w:val="nil"/>
              <w:right w:val="nil"/>
            </w:tcBorders>
            <w:shd w:val="clear" w:color="auto" w:fill="auto"/>
            <w:noWrap/>
            <w:vAlign w:val="bottom"/>
            <w:hideMark/>
          </w:tcPr>
          <w:p w14:paraId="0FB442D3" w14:textId="77777777" w:rsidR="00EC3830" w:rsidRPr="003B37F4" w:rsidRDefault="00EC3830">
            <w:pPr>
              <w:rPr>
                <w:rFonts w:cs="Arial"/>
                <w:b/>
                <w:bCs/>
                <w:i/>
                <w:iCs/>
                <w:szCs w:val="20"/>
              </w:rPr>
            </w:pPr>
          </w:p>
        </w:tc>
        <w:tc>
          <w:tcPr>
            <w:tcW w:w="1920" w:type="dxa"/>
            <w:tcBorders>
              <w:top w:val="nil"/>
              <w:left w:val="nil"/>
              <w:bottom w:val="nil"/>
              <w:right w:val="nil"/>
            </w:tcBorders>
            <w:shd w:val="clear" w:color="auto" w:fill="auto"/>
            <w:noWrap/>
            <w:vAlign w:val="bottom"/>
            <w:hideMark/>
          </w:tcPr>
          <w:p w14:paraId="11744025" w14:textId="77777777" w:rsidR="00EC3830" w:rsidRPr="003B37F4" w:rsidRDefault="00EC3830">
            <w:pPr>
              <w:rPr>
                <w:rFonts w:cs="Arial"/>
                <w:szCs w:val="20"/>
              </w:rPr>
            </w:pPr>
          </w:p>
        </w:tc>
      </w:tr>
      <w:tr w:rsidR="00EC3830" w:rsidRPr="003B37F4" w14:paraId="1BAC876B" w14:textId="77777777" w:rsidTr="00B37CE0">
        <w:trPr>
          <w:trHeight w:val="300"/>
        </w:trPr>
        <w:tc>
          <w:tcPr>
            <w:tcW w:w="3323" w:type="dxa"/>
            <w:tcBorders>
              <w:top w:val="nil"/>
              <w:left w:val="nil"/>
              <w:bottom w:val="nil"/>
              <w:right w:val="nil"/>
            </w:tcBorders>
            <w:shd w:val="clear" w:color="auto" w:fill="auto"/>
            <w:noWrap/>
            <w:vAlign w:val="bottom"/>
            <w:hideMark/>
          </w:tcPr>
          <w:p w14:paraId="6BF58147" w14:textId="77777777" w:rsidR="00EC3830" w:rsidRPr="003B37F4" w:rsidRDefault="00EC3830">
            <w:pPr>
              <w:rPr>
                <w:rFonts w:cs="Arial"/>
                <w:b/>
                <w:szCs w:val="20"/>
              </w:rPr>
            </w:pPr>
            <w:r w:rsidRPr="003B37F4">
              <w:rPr>
                <w:rFonts w:cs="Arial"/>
                <w:b/>
                <w:szCs w:val="20"/>
              </w:rPr>
              <w:t>Environmental Health</w:t>
            </w:r>
          </w:p>
        </w:tc>
        <w:tc>
          <w:tcPr>
            <w:tcW w:w="1661" w:type="dxa"/>
            <w:tcBorders>
              <w:top w:val="nil"/>
              <w:left w:val="nil"/>
              <w:bottom w:val="nil"/>
              <w:right w:val="nil"/>
            </w:tcBorders>
            <w:shd w:val="clear" w:color="auto" w:fill="auto"/>
            <w:noWrap/>
            <w:vAlign w:val="bottom"/>
            <w:hideMark/>
          </w:tcPr>
          <w:p w14:paraId="446D5FCD" w14:textId="77777777" w:rsidR="00EC3830" w:rsidRPr="003B37F4" w:rsidRDefault="00EC3830">
            <w:pPr>
              <w:rPr>
                <w:rFonts w:cs="Arial"/>
                <w:szCs w:val="20"/>
              </w:rPr>
            </w:pPr>
          </w:p>
        </w:tc>
        <w:tc>
          <w:tcPr>
            <w:tcW w:w="222" w:type="dxa"/>
            <w:tcBorders>
              <w:top w:val="nil"/>
              <w:left w:val="nil"/>
              <w:bottom w:val="nil"/>
              <w:right w:val="nil"/>
            </w:tcBorders>
            <w:shd w:val="clear" w:color="auto" w:fill="auto"/>
            <w:noWrap/>
            <w:vAlign w:val="bottom"/>
            <w:hideMark/>
          </w:tcPr>
          <w:p w14:paraId="3301219A" w14:textId="77777777" w:rsidR="00EC3830" w:rsidRPr="003B37F4" w:rsidRDefault="00EC3830">
            <w:pPr>
              <w:rPr>
                <w:rFonts w:cs="Arial"/>
                <w:b/>
                <w:bCs/>
                <w:i/>
                <w:iCs/>
                <w:szCs w:val="20"/>
              </w:rPr>
            </w:pPr>
          </w:p>
        </w:tc>
        <w:tc>
          <w:tcPr>
            <w:tcW w:w="222" w:type="dxa"/>
            <w:tcBorders>
              <w:top w:val="nil"/>
              <w:left w:val="nil"/>
              <w:bottom w:val="nil"/>
              <w:right w:val="nil"/>
            </w:tcBorders>
            <w:shd w:val="clear" w:color="auto" w:fill="auto"/>
            <w:noWrap/>
            <w:vAlign w:val="bottom"/>
            <w:hideMark/>
          </w:tcPr>
          <w:p w14:paraId="4D72DA86" w14:textId="77777777" w:rsidR="00EC3830" w:rsidRPr="003B37F4" w:rsidRDefault="00EC3830">
            <w:pPr>
              <w:rPr>
                <w:rFonts w:cs="Arial"/>
                <w:b/>
                <w:bCs/>
                <w:i/>
                <w:iCs/>
                <w:szCs w:val="20"/>
              </w:rPr>
            </w:pPr>
          </w:p>
        </w:tc>
        <w:tc>
          <w:tcPr>
            <w:tcW w:w="1920" w:type="dxa"/>
            <w:tcBorders>
              <w:top w:val="nil"/>
              <w:left w:val="nil"/>
              <w:bottom w:val="nil"/>
              <w:right w:val="nil"/>
            </w:tcBorders>
            <w:shd w:val="clear" w:color="auto" w:fill="auto"/>
            <w:noWrap/>
            <w:vAlign w:val="bottom"/>
            <w:hideMark/>
          </w:tcPr>
          <w:p w14:paraId="4A362EC1" w14:textId="77777777" w:rsidR="00EC3830" w:rsidRPr="003B37F4" w:rsidRDefault="00EC3830">
            <w:pPr>
              <w:rPr>
                <w:rFonts w:cs="Arial"/>
                <w:szCs w:val="20"/>
              </w:rPr>
            </w:pPr>
          </w:p>
        </w:tc>
      </w:tr>
      <w:tr w:rsidR="00027617" w:rsidRPr="003B37F4" w14:paraId="698C3AC7" w14:textId="77777777" w:rsidTr="00B37CE0">
        <w:trPr>
          <w:trHeight w:val="300"/>
        </w:trPr>
        <w:tc>
          <w:tcPr>
            <w:tcW w:w="3323" w:type="dxa"/>
            <w:tcBorders>
              <w:top w:val="nil"/>
              <w:left w:val="nil"/>
              <w:bottom w:val="nil"/>
              <w:right w:val="nil"/>
            </w:tcBorders>
            <w:shd w:val="clear" w:color="auto" w:fill="auto"/>
            <w:noWrap/>
            <w:vAlign w:val="bottom"/>
            <w:hideMark/>
          </w:tcPr>
          <w:p w14:paraId="44D3DD87" w14:textId="77777777" w:rsidR="00027617" w:rsidRPr="003B37F4" w:rsidRDefault="00027617" w:rsidP="00027617">
            <w:pPr>
              <w:rPr>
                <w:rFonts w:cs="Arial"/>
                <w:szCs w:val="20"/>
              </w:rPr>
            </w:pPr>
            <w:r w:rsidRPr="003B37F4">
              <w:rPr>
                <w:rFonts w:cs="Arial"/>
                <w:szCs w:val="20"/>
              </w:rPr>
              <w:t xml:space="preserve">  Food Program</w:t>
            </w:r>
          </w:p>
        </w:tc>
        <w:tc>
          <w:tcPr>
            <w:tcW w:w="1661" w:type="dxa"/>
            <w:tcBorders>
              <w:top w:val="nil"/>
              <w:left w:val="nil"/>
              <w:bottom w:val="nil"/>
              <w:right w:val="nil"/>
            </w:tcBorders>
            <w:shd w:val="clear" w:color="auto" w:fill="auto"/>
            <w:noWrap/>
            <w:vAlign w:val="bottom"/>
            <w:hideMark/>
          </w:tcPr>
          <w:p w14:paraId="0EE64CBA" w14:textId="71FD616B" w:rsidR="00027617" w:rsidRPr="003B37F4" w:rsidRDefault="00027617" w:rsidP="00027617">
            <w:pPr>
              <w:widowControl/>
              <w:autoSpaceDE/>
              <w:autoSpaceDN/>
              <w:adjustRightInd/>
              <w:jc w:val="right"/>
              <w:rPr>
                <w:rFonts w:cs="Arial"/>
                <w:szCs w:val="20"/>
              </w:rPr>
            </w:pPr>
            <w:r w:rsidRPr="003B37F4">
              <w:rPr>
                <w:rFonts w:cs="Arial"/>
                <w:szCs w:val="20"/>
              </w:rPr>
              <w:t xml:space="preserve">99,534 </w:t>
            </w:r>
          </w:p>
        </w:tc>
        <w:tc>
          <w:tcPr>
            <w:tcW w:w="222" w:type="dxa"/>
            <w:tcBorders>
              <w:top w:val="nil"/>
              <w:left w:val="nil"/>
              <w:bottom w:val="nil"/>
              <w:right w:val="nil"/>
            </w:tcBorders>
            <w:shd w:val="clear" w:color="auto" w:fill="auto"/>
            <w:noWrap/>
            <w:vAlign w:val="bottom"/>
            <w:hideMark/>
          </w:tcPr>
          <w:p w14:paraId="341A3664" w14:textId="77777777" w:rsidR="00027617" w:rsidRPr="003B37F4" w:rsidRDefault="00027617" w:rsidP="00027617">
            <w:pPr>
              <w:rPr>
                <w:rFonts w:cs="Arial"/>
                <w:b/>
                <w:bCs/>
                <w:i/>
                <w:iCs/>
                <w:szCs w:val="20"/>
              </w:rPr>
            </w:pPr>
          </w:p>
        </w:tc>
        <w:tc>
          <w:tcPr>
            <w:tcW w:w="222" w:type="dxa"/>
            <w:tcBorders>
              <w:top w:val="nil"/>
              <w:left w:val="nil"/>
              <w:bottom w:val="nil"/>
              <w:right w:val="nil"/>
            </w:tcBorders>
            <w:shd w:val="clear" w:color="auto" w:fill="auto"/>
            <w:noWrap/>
            <w:vAlign w:val="bottom"/>
            <w:hideMark/>
          </w:tcPr>
          <w:p w14:paraId="6CA5645B" w14:textId="77777777" w:rsidR="00027617" w:rsidRPr="003B37F4" w:rsidRDefault="00027617" w:rsidP="00027617">
            <w:pPr>
              <w:rPr>
                <w:rFonts w:cs="Arial"/>
                <w:b/>
                <w:bCs/>
                <w:i/>
                <w:iCs/>
                <w:szCs w:val="20"/>
              </w:rPr>
            </w:pPr>
          </w:p>
        </w:tc>
        <w:tc>
          <w:tcPr>
            <w:tcW w:w="1920" w:type="dxa"/>
            <w:tcBorders>
              <w:top w:val="nil"/>
              <w:left w:val="nil"/>
              <w:bottom w:val="nil"/>
              <w:right w:val="nil"/>
            </w:tcBorders>
            <w:shd w:val="clear" w:color="auto" w:fill="auto"/>
            <w:noWrap/>
            <w:vAlign w:val="bottom"/>
            <w:hideMark/>
          </w:tcPr>
          <w:p w14:paraId="2007E295" w14:textId="0CF98219" w:rsidR="00027617" w:rsidRPr="003B37F4" w:rsidRDefault="00027617" w:rsidP="00027617">
            <w:pPr>
              <w:widowControl/>
              <w:autoSpaceDE/>
              <w:autoSpaceDN/>
              <w:adjustRightInd/>
              <w:jc w:val="right"/>
              <w:rPr>
                <w:rFonts w:cs="Arial"/>
                <w:szCs w:val="20"/>
              </w:rPr>
            </w:pPr>
            <w:r w:rsidRPr="003B37F4">
              <w:rPr>
                <w:rFonts w:cs="Arial"/>
                <w:szCs w:val="20"/>
              </w:rPr>
              <w:t>(32,107)</w:t>
            </w:r>
          </w:p>
        </w:tc>
      </w:tr>
      <w:tr w:rsidR="00027617" w:rsidRPr="003B37F4" w14:paraId="5A937447" w14:textId="77777777" w:rsidTr="00B37CE0">
        <w:trPr>
          <w:trHeight w:val="300"/>
        </w:trPr>
        <w:tc>
          <w:tcPr>
            <w:tcW w:w="3323" w:type="dxa"/>
            <w:tcBorders>
              <w:top w:val="nil"/>
              <w:left w:val="nil"/>
              <w:bottom w:val="nil"/>
              <w:right w:val="nil"/>
            </w:tcBorders>
            <w:shd w:val="clear" w:color="auto" w:fill="auto"/>
            <w:noWrap/>
            <w:vAlign w:val="bottom"/>
            <w:hideMark/>
          </w:tcPr>
          <w:p w14:paraId="43B7DD87" w14:textId="77777777" w:rsidR="00027617" w:rsidRPr="003B37F4" w:rsidRDefault="00027617" w:rsidP="00027617">
            <w:pPr>
              <w:rPr>
                <w:rFonts w:cs="Arial"/>
                <w:szCs w:val="20"/>
              </w:rPr>
            </w:pPr>
            <w:r w:rsidRPr="003B37F4">
              <w:rPr>
                <w:rFonts w:cs="Arial"/>
                <w:szCs w:val="20"/>
              </w:rPr>
              <w:t xml:space="preserve">  Solid Waste</w:t>
            </w:r>
          </w:p>
        </w:tc>
        <w:tc>
          <w:tcPr>
            <w:tcW w:w="1661" w:type="dxa"/>
            <w:tcBorders>
              <w:top w:val="nil"/>
              <w:left w:val="nil"/>
              <w:bottom w:val="nil"/>
              <w:right w:val="nil"/>
            </w:tcBorders>
            <w:shd w:val="clear" w:color="auto" w:fill="auto"/>
            <w:noWrap/>
            <w:vAlign w:val="bottom"/>
            <w:hideMark/>
          </w:tcPr>
          <w:p w14:paraId="7FBA59D5" w14:textId="2951434F" w:rsidR="00027617" w:rsidRPr="003B37F4" w:rsidRDefault="00027617" w:rsidP="00027617">
            <w:pPr>
              <w:jc w:val="right"/>
              <w:rPr>
                <w:rFonts w:cs="Arial"/>
                <w:szCs w:val="20"/>
              </w:rPr>
            </w:pPr>
            <w:r w:rsidRPr="003B37F4">
              <w:rPr>
                <w:rFonts w:cs="Arial"/>
                <w:szCs w:val="20"/>
              </w:rPr>
              <w:t xml:space="preserve">4,655 </w:t>
            </w:r>
          </w:p>
        </w:tc>
        <w:tc>
          <w:tcPr>
            <w:tcW w:w="222" w:type="dxa"/>
            <w:tcBorders>
              <w:top w:val="nil"/>
              <w:left w:val="nil"/>
              <w:bottom w:val="nil"/>
              <w:right w:val="nil"/>
            </w:tcBorders>
            <w:shd w:val="clear" w:color="auto" w:fill="auto"/>
            <w:noWrap/>
            <w:vAlign w:val="bottom"/>
            <w:hideMark/>
          </w:tcPr>
          <w:p w14:paraId="2B153FC2" w14:textId="77777777" w:rsidR="00027617" w:rsidRPr="003B37F4" w:rsidRDefault="00027617" w:rsidP="00027617">
            <w:pPr>
              <w:rPr>
                <w:rFonts w:cs="Arial"/>
                <w:b/>
                <w:bCs/>
                <w:i/>
                <w:iCs/>
                <w:szCs w:val="20"/>
              </w:rPr>
            </w:pPr>
          </w:p>
        </w:tc>
        <w:tc>
          <w:tcPr>
            <w:tcW w:w="222" w:type="dxa"/>
            <w:tcBorders>
              <w:top w:val="nil"/>
              <w:left w:val="nil"/>
              <w:bottom w:val="nil"/>
              <w:right w:val="nil"/>
            </w:tcBorders>
            <w:shd w:val="clear" w:color="auto" w:fill="auto"/>
            <w:noWrap/>
            <w:vAlign w:val="bottom"/>
            <w:hideMark/>
          </w:tcPr>
          <w:p w14:paraId="693BC739" w14:textId="77777777" w:rsidR="00027617" w:rsidRPr="003B37F4" w:rsidRDefault="00027617" w:rsidP="00027617">
            <w:pPr>
              <w:rPr>
                <w:rFonts w:cs="Arial"/>
                <w:b/>
                <w:bCs/>
                <w:i/>
                <w:iCs/>
                <w:szCs w:val="20"/>
              </w:rPr>
            </w:pPr>
          </w:p>
        </w:tc>
        <w:tc>
          <w:tcPr>
            <w:tcW w:w="1920" w:type="dxa"/>
            <w:tcBorders>
              <w:top w:val="nil"/>
              <w:left w:val="nil"/>
              <w:bottom w:val="nil"/>
              <w:right w:val="nil"/>
            </w:tcBorders>
            <w:shd w:val="clear" w:color="auto" w:fill="auto"/>
            <w:noWrap/>
            <w:vAlign w:val="bottom"/>
            <w:hideMark/>
          </w:tcPr>
          <w:p w14:paraId="3556B611" w14:textId="4558AB11" w:rsidR="00027617" w:rsidRPr="003B37F4" w:rsidRDefault="00027617" w:rsidP="00027617">
            <w:pPr>
              <w:jc w:val="right"/>
              <w:rPr>
                <w:rFonts w:cs="Arial"/>
                <w:szCs w:val="20"/>
              </w:rPr>
            </w:pPr>
            <w:r w:rsidRPr="003B37F4">
              <w:rPr>
                <w:rFonts w:cs="Arial"/>
                <w:szCs w:val="20"/>
              </w:rPr>
              <w:t>(762)</w:t>
            </w:r>
          </w:p>
        </w:tc>
      </w:tr>
      <w:tr w:rsidR="00027617" w:rsidRPr="003B37F4" w14:paraId="0B195FFC" w14:textId="77777777" w:rsidTr="00B37CE0">
        <w:trPr>
          <w:trHeight w:val="300"/>
        </w:trPr>
        <w:tc>
          <w:tcPr>
            <w:tcW w:w="3323" w:type="dxa"/>
            <w:tcBorders>
              <w:top w:val="nil"/>
              <w:left w:val="nil"/>
              <w:bottom w:val="nil"/>
              <w:right w:val="nil"/>
            </w:tcBorders>
            <w:shd w:val="clear" w:color="auto" w:fill="auto"/>
            <w:noWrap/>
            <w:vAlign w:val="bottom"/>
            <w:hideMark/>
          </w:tcPr>
          <w:p w14:paraId="65E0BA48" w14:textId="77777777" w:rsidR="00027617" w:rsidRPr="003B37F4" w:rsidRDefault="00027617" w:rsidP="00027617">
            <w:pPr>
              <w:rPr>
                <w:rFonts w:cs="Arial"/>
                <w:szCs w:val="20"/>
              </w:rPr>
            </w:pPr>
            <w:r w:rsidRPr="003B37F4">
              <w:rPr>
                <w:rFonts w:cs="Arial"/>
                <w:szCs w:val="20"/>
              </w:rPr>
              <w:t xml:space="preserve">  Swimming Pools</w:t>
            </w:r>
          </w:p>
        </w:tc>
        <w:tc>
          <w:tcPr>
            <w:tcW w:w="1661" w:type="dxa"/>
            <w:tcBorders>
              <w:top w:val="nil"/>
              <w:left w:val="nil"/>
              <w:bottom w:val="nil"/>
              <w:right w:val="nil"/>
            </w:tcBorders>
            <w:shd w:val="clear" w:color="auto" w:fill="auto"/>
            <w:noWrap/>
            <w:vAlign w:val="bottom"/>
            <w:hideMark/>
          </w:tcPr>
          <w:p w14:paraId="79574AF9" w14:textId="203C6839" w:rsidR="00027617" w:rsidRPr="003B37F4" w:rsidRDefault="00027617" w:rsidP="00027617">
            <w:pPr>
              <w:jc w:val="right"/>
              <w:rPr>
                <w:rFonts w:cs="Arial"/>
                <w:szCs w:val="20"/>
              </w:rPr>
            </w:pPr>
            <w:r w:rsidRPr="003B37F4">
              <w:rPr>
                <w:rFonts w:cs="Arial"/>
                <w:szCs w:val="20"/>
              </w:rPr>
              <w:t xml:space="preserve">3,036 </w:t>
            </w:r>
          </w:p>
        </w:tc>
        <w:tc>
          <w:tcPr>
            <w:tcW w:w="222" w:type="dxa"/>
            <w:tcBorders>
              <w:top w:val="nil"/>
              <w:left w:val="nil"/>
              <w:bottom w:val="nil"/>
              <w:right w:val="nil"/>
            </w:tcBorders>
            <w:shd w:val="clear" w:color="auto" w:fill="auto"/>
            <w:noWrap/>
            <w:vAlign w:val="bottom"/>
            <w:hideMark/>
          </w:tcPr>
          <w:p w14:paraId="24E42519" w14:textId="77777777" w:rsidR="00027617" w:rsidRPr="003B37F4" w:rsidRDefault="00027617" w:rsidP="00027617">
            <w:pPr>
              <w:rPr>
                <w:rFonts w:cs="Arial"/>
                <w:b/>
                <w:bCs/>
                <w:i/>
                <w:iCs/>
                <w:szCs w:val="20"/>
              </w:rPr>
            </w:pPr>
          </w:p>
        </w:tc>
        <w:tc>
          <w:tcPr>
            <w:tcW w:w="222" w:type="dxa"/>
            <w:tcBorders>
              <w:top w:val="nil"/>
              <w:left w:val="nil"/>
              <w:bottom w:val="nil"/>
              <w:right w:val="nil"/>
            </w:tcBorders>
            <w:shd w:val="clear" w:color="auto" w:fill="auto"/>
            <w:noWrap/>
            <w:vAlign w:val="bottom"/>
            <w:hideMark/>
          </w:tcPr>
          <w:p w14:paraId="5F70069F" w14:textId="77777777" w:rsidR="00027617" w:rsidRPr="003B37F4" w:rsidRDefault="00027617" w:rsidP="00027617">
            <w:pPr>
              <w:rPr>
                <w:rFonts w:cs="Arial"/>
                <w:b/>
                <w:bCs/>
                <w:i/>
                <w:iCs/>
                <w:szCs w:val="20"/>
              </w:rPr>
            </w:pPr>
          </w:p>
        </w:tc>
        <w:tc>
          <w:tcPr>
            <w:tcW w:w="1920" w:type="dxa"/>
            <w:tcBorders>
              <w:top w:val="nil"/>
              <w:left w:val="nil"/>
              <w:bottom w:val="nil"/>
              <w:right w:val="nil"/>
            </w:tcBorders>
            <w:shd w:val="clear" w:color="auto" w:fill="auto"/>
            <w:noWrap/>
            <w:vAlign w:val="bottom"/>
            <w:hideMark/>
          </w:tcPr>
          <w:p w14:paraId="67BAFA18" w14:textId="38056C59" w:rsidR="00027617" w:rsidRPr="003B37F4" w:rsidRDefault="00027617" w:rsidP="00027617">
            <w:pPr>
              <w:jc w:val="right"/>
              <w:rPr>
                <w:rFonts w:cs="Arial"/>
                <w:szCs w:val="20"/>
              </w:rPr>
            </w:pPr>
            <w:r w:rsidRPr="003B37F4">
              <w:rPr>
                <w:rFonts w:cs="Arial"/>
                <w:szCs w:val="20"/>
              </w:rPr>
              <w:t>(681)</w:t>
            </w:r>
          </w:p>
        </w:tc>
      </w:tr>
      <w:tr w:rsidR="00027617" w:rsidRPr="003B37F4" w14:paraId="52F4A2BE" w14:textId="77777777" w:rsidTr="00B37CE0">
        <w:trPr>
          <w:trHeight w:val="300"/>
        </w:trPr>
        <w:tc>
          <w:tcPr>
            <w:tcW w:w="3323" w:type="dxa"/>
            <w:tcBorders>
              <w:top w:val="nil"/>
              <w:left w:val="nil"/>
              <w:bottom w:val="nil"/>
              <w:right w:val="nil"/>
            </w:tcBorders>
            <w:shd w:val="clear" w:color="auto" w:fill="auto"/>
            <w:noWrap/>
            <w:vAlign w:val="bottom"/>
            <w:hideMark/>
          </w:tcPr>
          <w:p w14:paraId="67840449" w14:textId="77777777" w:rsidR="00027617" w:rsidRPr="003B37F4" w:rsidRDefault="00027617" w:rsidP="00027617">
            <w:pPr>
              <w:rPr>
                <w:rFonts w:cs="Arial"/>
                <w:szCs w:val="20"/>
              </w:rPr>
            </w:pPr>
            <w:r w:rsidRPr="003B37F4">
              <w:rPr>
                <w:rFonts w:cs="Arial"/>
                <w:szCs w:val="20"/>
              </w:rPr>
              <w:t xml:space="preserve">  Camps</w:t>
            </w:r>
          </w:p>
        </w:tc>
        <w:tc>
          <w:tcPr>
            <w:tcW w:w="1661" w:type="dxa"/>
            <w:tcBorders>
              <w:top w:val="nil"/>
              <w:left w:val="nil"/>
              <w:bottom w:val="nil"/>
              <w:right w:val="nil"/>
            </w:tcBorders>
            <w:shd w:val="clear" w:color="auto" w:fill="auto"/>
            <w:noWrap/>
            <w:vAlign w:val="bottom"/>
            <w:hideMark/>
          </w:tcPr>
          <w:p w14:paraId="4EA55822" w14:textId="486168AF" w:rsidR="00027617" w:rsidRPr="003B37F4" w:rsidRDefault="00027617" w:rsidP="00027617">
            <w:pPr>
              <w:jc w:val="right"/>
              <w:rPr>
                <w:rFonts w:cs="Arial"/>
                <w:szCs w:val="20"/>
              </w:rPr>
            </w:pPr>
            <w:r w:rsidRPr="003B37F4">
              <w:rPr>
                <w:rFonts w:cs="Arial"/>
                <w:szCs w:val="20"/>
              </w:rPr>
              <w:t xml:space="preserve">0 </w:t>
            </w:r>
          </w:p>
        </w:tc>
        <w:tc>
          <w:tcPr>
            <w:tcW w:w="222" w:type="dxa"/>
            <w:tcBorders>
              <w:top w:val="nil"/>
              <w:left w:val="nil"/>
              <w:bottom w:val="nil"/>
              <w:right w:val="nil"/>
            </w:tcBorders>
            <w:shd w:val="clear" w:color="auto" w:fill="auto"/>
            <w:noWrap/>
            <w:vAlign w:val="bottom"/>
            <w:hideMark/>
          </w:tcPr>
          <w:p w14:paraId="3832F49B" w14:textId="77777777" w:rsidR="00027617" w:rsidRPr="003B37F4" w:rsidRDefault="00027617" w:rsidP="00027617">
            <w:pPr>
              <w:rPr>
                <w:rFonts w:cs="Arial"/>
                <w:b/>
                <w:bCs/>
                <w:i/>
                <w:iCs/>
                <w:szCs w:val="20"/>
              </w:rPr>
            </w:pPr>
          </w:p>
        </w:tc>
        <w:tc>
          <w:tcPr>
            <w:tcW w:w="222" w:type="dxa"/>
            <w:tcBorders>
              <w:top w:val="nil"/>
              <w:left w:val="nil"/>
              <w:bottom w:val="nil"/>
              <w:right w:val="nil"/>
            </w:tcBorders>
            <w:shd w:val="clear" w:color="auto" w:fill="auto"/>
            <w:noWrap/>
            <w:vAlign w:val="bottom"/>
            <w:hideMark/>
          </w:tcPr>
          <w:p w14:paraId="15DEB980" w14:textId="77777777" w:rsidR="00027617" w:rsidRPr="003B37F4" w:rsidRDefault="00027617" w:rsidP="00027617">
            <w:pPr>
              <w:rPr>
                <w:rFonts w:cs="Arial"/>
                <w:b/>
                <w:bCs/>
                <w:i/>
                <w:iCs/>
                <w:szCs w:val="20"/>
              </w:rPr>
            </w:pPr>
          </w:p>
        </w:tc>
        <w:tc>
          <w:tcPr>
            <w:tcW w:w="1920" w:type="dxa"/>
            <w:tcBorders>
              <w:top w:val="nil"/>
              <w:left w:val="nil"/>
              <w:bottom w:val="nil"/>
              <w:right w:val="nil"/>
            </w:tcBorders>
            <w:shd w:val="clear" w:color="auto" w:fill="auto"/>
            <w:noWrap/>
            <w:vAlign w:val="bottom"/>
            <w:hideMark/>
          </w:tcPr>
          <w:p w14:paraId="1C7F1927" w14:textId="67082D6A" w:rsidR="00027617" w:rsidRPr="003B37F4" w:rsidRDefault="00027617" w:rsidP="00027617">
            <w:pPr>
              <w:jc w:val="right"/>
              <w:rPr>
                <w:rFonts w:cs="Arial"/>
                <w:szCs w:val="20"/>
              </w:rPr>
            </w:pPr>
            <w:r w:rsidRPr="003B37F4">
              <w:rPr>
                <w:rFonts w:cs="Arial"/>
                <w:szCs w:val="20"/>
              </w:rPr>
              <w:t xml:space="preserve">634 </w:t>
            </w:r>
          </w:p>
        </w:tc>
      </w:tr>
      <w:tr w:rsidR="00027617" w:rsidRPr="003B37F4" w14:paraId="703ACCAE" w14:textId="77777777" w:rsidTr="00B37CE0">
        <w:trPr>
          <w:trHeight w:val="300"/>
        </w:trPr>
        <w:tc>
          <w:tcPr>
            <w:tcW w:w="3323" w:type="dxa"/>
            <w:tcBorders>
              <w:top w:val="nil"/>
              <w:left w:val="nil"/>
              <w:bottom w:val="nil"/>
              <w:right w:val="nil"/>
            </w:tcBorders>
            <w:shd w:val="clear" w:color="auto" w:fill="auto"/>
            <w:noWrap/>
            <w:vAlign w:val="bottom"/>
            <w:hideMark/>
          </w:tcPr>
          <w:p w14:paraId="0E1427FF" w14:textId="77777777" w:rsidR="00027617" w:rsidRPr="003B37F4" w:rsidRDefault="00027617" w:rsidP="00027617">
            <w:pPr>
              <w:rPr>
                <w:rFonts w:cs="Arial"/>
                <w:szCs w:val="20"/>
              </w:rPr>
            </w:pPr>
            <w:r w:rsidRPr="003B37F4">
              <w:rPr>
                <w:rFonts w:cs="Arial"/>
                <w:szCs w:val="20"/>
              </w:rPr>
              <w:t xml:space="preserve">  Plumbing</w:t>
            </w:r>
          </w:p>
        </w:tc>
        <w:tc>
          <w:tcPr>
            <w:tcW w:w="1661" w:type="dxa"/>
            <w:tcBorders>
              <w:top w:val="nil"/>
              <w:left w:val="nil"/>
              <w:bottom w:val="nil"/>
              <w:right w:val="nil"/>
            </w:tcBorders>
            <w:shd w:val="clear" w:color="auto" w:fill="auto"/>
            <w:noWrap/>
            <w:vAlign w:val="bottom"/>
            <w:hideMark/>
          </w:tcPr>
          <w:p w14:paraId="364F145D" w14:textId="3873B635" w:rsidR="00027617" w:rsidRPr="003B37F4" w:rsidRDefault="00027617" w:rsidP="00027617">
            <w:pPr>
              <w:jc w:val="right"/>
              <w:rPr>
                <w:rFonts w:cs="Arial"/>
                <w:szCs w:val="20"/>
              </w:rPr>
            </w:pPr>
            <w:r w:rsidRPr="003B37F4">
              <w:rPr>
                <w:rFonts w:cs="Arial"/>
                <w:szCs w:val="20"/>
              </w:rPr>
              <w:t xml:space="preserve">78,461 </w:t>
            </w:r>
          </w:p>
        </w:tc>
        <w:tc>
          <w:tcPr>
            <w:tcW w:w="222" w:type="dxa"/>
            <w:tcBorders>
              <w:top w:val="nil"/>
              <w:left w:val="nil"/>
              <w:bottom w:val="nil"/>
              <w:right w:val="nil"/>
            </w:tcBorders>
            <w:shd w:val="clear" w:color="auto" w:fill="auto"/>
            <w:noWrap/>
            <w:vAlign w:val="bottom"/>
            <w:hideMark/>
          </w:tcPr>
          <w:p w14:paraId="12CD0C81" w14:textId="77777777" w:rsidR="00027617" w:rsidRPr="003B37F4" w:rsidRDefault="00027617" w:rsidP="00027617">
            <w:pPr>
              <w:rPr>
                <w:rFonts w:cs="Arial"/>
                <w:b/>
                <w:bCs/>
                <w:i/>
                <w:iCs/>
                <w:szCs w:val="20"/>
              </w:rPr>
            </w:pPr>
          </w:p>
        </w:tc>
        <w:tc>
          <w:tcPr>
            <w:tcW w:w="222" w:type="dxa"/>
            <w:tcBorders>
              <w:top w:val="nil"/>
              <w:left w:val="nil"/>
              <w:bottom w:val="nil"/>
              <w:right w:val="nil"/>
            </w:tcBorders>
            <w:shd w:val="clear" w:color="auto" w:fill="auto"/>
            <w:noWrap/>
            <w:vAlign w:val="bottom"/>
            <w:hideMark/>
          </w:tcPr>
          <w:p w14:paraId="5F6566BC" w14:textId="77777777" w:rsidR="00027617" w:rsidRPr="003B37F4" w:rsidRDefault="00027617" w:rsidP="00027617">
            <w:pPr>
              <w:rPr>
                <w:rFonts w:cs="Arial"/>
                <w:b/>
                <w:bCs/>
                <w:i/>
                <w:iCs/>
                <w:szCs w:val="20"/>
              </w:rPr>
            </w:pPr>
          </w:p>
        </w:tc>
        <w:tc>
          <w:tcPr>
            <w:tcW w:w="1920" w:type="dxa"/>
            <w:tcBorders>
              <w:top w:val="nil"/>
              <w:left w:val="nil"/>
              <w:bottom w:val="nil"/>
              <w:right w:val="nil"/>
            </w:tcBorders>
            <w:shd w:val="clear" w:color="auto" w:fill="auto"/>
            <w:noWrap/>
            <w:vAlign w:val="bottom"/>
            <w:hideMark/>
          </w:tcPr>
          <w:p w14:paraId="50232B23" w14:textId="3C94EC4B" w:rsidR="00027617" w:rsidRPr="003B37F4" w:rsidRDefault="00027617" w:rsidP="00027617">
            <w:pPr>
              <w:jc w:val="right"/>
              <w:rPr>
                <w:rFonts w:cs="Arial"/>
                <w:szCs w:val="20"/>
              </w:rPr>
            </w:pPr>
            <w:r w:rsidRPr="003B37F4">
              <w:rPr>
                <w:rFonts w:cs="Arial"/>
                <w:szCs w:val="20"/>
              </w:rPr>
              <w:t>(18,116)</w:t>
            </w:r>
          </w:p>
        </w:tc>
      </w:tr>
      <w:tr w:rsidR="00027617" w:rsidRPr="003B37F4" w14:paraId="4CE3B452" w14:textId="77777777" w:rsidTr="00B37CE0">
        <w:trPr>
          <w:trHeight w:val="300"/>
        </w:trPr>
        <w:tc>
          <w:tcPr>
            <w:tcW w:w="3323" w:type="dxa"/>
            <w:tcBorders>
              <w:top w:val="nil"/>
              <w:left w:val="nil"/>
              <w:bottom w:val="nil"/>
              <w:right w:val="nil"/>
            </w:tcBorders>
            <w:shd w:val="clear" w:color="auto" w:fill="auto"/>
            <w:noWrap/>
            <w:vAlign w:val="bottom"/>
            <w:hideMark/>
          </w:tcPr>
          <w:p w14:paraId="1ACB2FCA" w14:textId="77777777" w:rsidR="00027617" w:rsidRPr="003B37F4" w:rsidRDefault="00027617" w:rsidP="00027617">
            <w:pPr>
              <w:rPr>
                <w:rFonts w:cs="Arial"/>
                <w:szCs w:val="20"/>
              </w:rPr>
            </w:pPr>
            <w:r w:rsidRPr="003B37F4">
              <w:rPr>
                <w:rFonts w:cs="Arial"/>
                <w:szCs w:val="20"/>
              </w:rPr>
              <w:t xml:space="preserve">  Sewage</w:t>
            </w:r>
          </w:p>
        </w:tc>
        <w:tc>
          <w:tcPr>
            <w:tcW w:w="1661" w:type="dxa"/>
            <w:tcBorders>
              <w:top w:val="nil"/>
              <w:left w:val="nil"/>
              <w:bottom w:val="nil"/>
              <w:right w:val="nil"/>
            </w:tcBorders>
            <w:shd w:val="clear" w:color="auto" w:fill="auto"/>
            <w:noWrap/>
            <w:vAlign w:val="bottom"/>
            <w:hideMark/>
          </w:tcPr>
          <w:p w14:paraId="7FF52688" w14:textId="1BC7B821" w:rsidR="00027617" w:rsidRPr="003B37F4" w:rsidRDefault="00027617" w:rsidP="00027617">
            <w:pPr>
              <w:jc w:val="right"/>
              <w:rPr>
                <w:rFonts w:cs="Arial"/>
                <w:szCs w:val="20"/>
              </w:rPr>
            </w:pPr>
            <w:r w:rsidRPr="003B37F4">
              <w:rPr>
                <w:rFonts w:cs="Arial"/>
                <w:szCs w:val="20"/>
              </w:rPr>
              <w:t xml:space="preserve">65,812 </w:t>
            </w:r>
          </w:p>
        </w:tc>
        <w:tc>
          <w:tcPr>
            <w:tcW w:w="222" w:type="dxa"/>
            <w:tcBorders>
              <w:top w:val="nil"/>
              <w:left w:val="nil"/>
              <w:bottom w:val="nil"/>
              <w:right w:val="nil"/>
            </w:tcBorders>
            <w:shd w:val="clear" w:color="auto" w:fill="auto"/>
            <w:noWrap/>
            <w:vAlign w:val="bottom"/>
            <w:hideMark/>
          </w:tcPr>
          <w:p w14:paraId="7AD41A8D" w14:textId="77777777" w:rsidR="00027617" w:rsidRPr="003B37F4" w:rsidRDefault="00027617" w:rsidP="00027617">
            <w:pPr>
              <w:rPr>
                <w:rFonts w:cs="Arial"/>
                <w:b/>
                <w:bCs/>
                <w:i/>
                <w:iCs/>
                <w:szCs w:val="20"/>
              </w:rPr>
            </w:pPr>
          </w:p>
        </w:tc>
        <w:tc>
          <w:tcPr>
            <w:tcW w:w="222" w:type="dxa"/>
            <w:tcBorders>
              <w:top w:val="nil"/>
              <w:left w:val="nil"/>
              <w:bottom w:val="nil"/>
              <w:right w:val="nil"/>
            </w:tcBorders>
            <w:shd w:val="clear" w:color="auto" w:fill="auto"/>
            <w:noWrap/>
            <w:vAlign w:val="bottom"/>
            <w:hideMark/>
          </w:tcPr>
          <w:p w14:paraId="360B89D6" w14:textId="77777777" w:rsidR="00027617" w:rsidRPr="003B37F4" w:rsidRDefault="00027617" w:rsidP="00027617">
            <w:pPr>
              <w:rPr>
                <w:rFonts w:cs="Arial"/>
                <w:b/>
                <w:bCs/>
                <w:i/>
                <w:iCs/>
                <w:szCs w:val="20"/>
              </w:rPr>
            </w:pPr>
          </w:p>
        </w:tc>
        <w:tc>
          <w:tcPr>
            <w:tcW w:w="1920" w:type="dxa"/>
            <w:tcBorders>
              <w:top w:val="nil"/>
              <w:left w:val="nil"/>
              <w:bottom w:val="nil"/>
              <w:right w:val="nil"/>
            </w:tcBorders>
            <w:shd w:val="clear" w:color="auto" w:fill="auto"/>
            <w:noWrap/>
            <w:vAlign w:val="bottom"/>
            <w:hideMark/>
          </w:tcPr>
          <w:p w14:paraId="73B39EE5" w14:textId="1E32BB5B" w:rsidR="00027617" w:rsidRPr="003B37F4" w:rsidRDefault="00027617" w:rsidP="00027617">
            <w:pPr>
              <w:jc w:val="right"/>
              <w:rPr>
                <w:rFonts w:cs="Arial"/>
                <w:szCs w:val="20"/>
              </w:rPr>
            </w:pPr>
            <w:r w:rsidRPr="003B37F4">
              <w:rPr>
                <w:rFonts w:cs="Arial"/>
                <w:szCs w:val="20"/>
              </w:rPr>
              <w:t>(12,327)</w:t>
            </w:r>
          </w:p>
        </w:tc>
      </w:tr>
      <w:tr w:rsidR="00027617" w:rsidRPr="003B37F4" w14:paraId="3F4E0A5A" w14:textId="77777777" w:rsidTr="00B37CE0">
        <w:trPr>
          <w:trHeight w:val="300"/>
        </w:trPr>
        <w:tc>
          <w:tcPr>
            <w:tcW w:w="3323" w:type="dxa"/>
            <w:tcBorders>
              <w:top w:val="nil"/>
              <w:left w:val="nil"/>
              <w:bottom w:val="nil"/>
              <w:right w:val="nil"/>
            </w:tcBorders>
            <w:shd w:val="clear" w:color="auto" w:fill="auto"/>
            <w:noWrap/>
            <w:vAlign w:val="bottom"/>
            <w:hideMark/>
          </w:tcPr>
          <w:p w14:paraId="568994D0" w14:textId="77777777" w:rsidR="00027617" w:rsidRPr="003B37F4" w:rsidRDefault="00027617" w:rsidP="00027617">
            <w:pPr>
              <w:rPr>
                <w:rFonts w:cs="Arial"/>
                <w:szCs w:val="20"/>
              </w:rPr>
            </w:pPr>
            <w:r w:rsidRPr="003B37F4">
              <w:rPr>
                <w:rFonts w:cs="Arial"/>
                <w:szCs w:val="20"/>
              </w:rPr>
              <w:t xml:space="preserve">  Other Environmental Health</w:t>
            </w:r>
          </w:p>
        </w:tc>
        <w:tc>
          <w:tcPr>
            <w:tcW w:w="1661" w:type="dxa"/>
            <w:tcBorders>
              <w:top w:val="nil"/>
              <w:left w:val="nil"/>
              <w:bottom w:val="nil"/>
              <w:right w:val="nil"/>
            </w:tcBorders>
            <w:shd w:val="clear" w:color="auto" w:fill="auto"/>
            <w:noWrap/>
            <w:vAlign w:val="bottom"/>
            <w:hideMark/>
          </w:tcPr>
          <w:p w14:paraId="771EE665" w14:textId="5989FCDE" w:rsidR="00027617" w:rsidRPr="003B37F4" w:rsidRDefault="00027617" w:rsidP="00027617">
            <w:pPr>
              <w:jc w:val="right"/>
              <w:rPr>
                <w:rFonts w:cs="Arial"/>
                <w:szCs w:val="20"/>
              </w:rPr>
            </w:pPr>
            <w:r w:rsidRPr="003B37F4">
              <w:rPr>
                <w:rFonts w:cs="Arial"/>
                <w:szCs w:val="20"/>
              </w:rPr>
              <w:t xml:space="preserve">104,076 </w:t>
            </w:r>
          </w:p>
        </w:tc>
        <w:tc>
          <w:tcPr>
            <w:tcW w:w="222" w:type="dxa"/>
            <w:tcBorders>
              <w:top w:val="nil"/>
              <w:left w:val="nil"/>
              <w:bottom w:val="nil"/>
              <w:right w:val="nil"/>
            </w:tcBorders>
            <w:shd w:val="clear" w:color="auto" w:fill="auto"/>
            <w:noWrap/>
            <w:vAlign w:val="bottom"/>
            <w:hideMark/>
          </w:tcPr>
          <w:p w14:paraId="7779B40A" w14:textId="77777777" w:rsidR="00027617" w:rsidRPr="003B37F4" w:rsidRDefault="00027617" w:rsidP="00027617">
            <w:pPr>
              <w:rPr>
                <w:rFonts w:cs="Arial"/>
                <w:b/>
                <w:bCs/>
                <w:i/>
                <w:iCs/>
                <w:szCs w:val="20"/>
              </w:rPr>
            </w:pPr>
          </w:p>
        </w:tc>
        <w:tc>
          <w:tcPr>
            <w:tcW w:w="222" w:type="dxa"/>
            <w:tcBorders>
              <w:top w:val="nil"/>
              <w:left w:val="nil"/>
              <w:bottom w:val="nil"/>
              <w:right w:val="nil"/>
            </w:tcBorders>
            <w:shd w:val="clear" w:color="auto" w:fill="auto"/>
            <w:noWrap/>
            <w:vAlign w:val="bottom"/>
            <w:hideMark/>
          </w:tcPr>
          <w:p w14:paraId="12FCCD82" w14:textId="77777777" w:rsidR="00027617" w:rsidRPr="003B37F4" w:rsidRDefault="00027617" w:rsidP="00027617">
            <w:pPr>
              <w:rPr>
                <w:rFonts w:cs="Arial"/>
                <w:b/>
                <w:bCs/>
                <w:i/>
                <w:iCs/>
                <w:szCs w:val="20"/>
              </w:rPr>
            </w:pPr>
          </w:p>
        </w:tc>
        <w:tc>
          <w:tcPr>
            <w:tcW w:w="1920" w:type="dxa"/>
            <w:tcBorders>
              <w:top w:val="nil"/>
              <w:left w:val="nil"/>
              <w:bottom w:val="nil"/>
              <w:right w:val="nil"/>
            </w:tcBorders>
            <w:shd w:val="clear" w:color="auto" w:fill="auto"/>
            <w:noWrap/>
            <w:vAlign w:val="bottom"/>
            <w:hideMark/>
          </w:tcPr>
          <w:p w14:paraId="0764C108" w14:textId="0CD019A2" w:rsidR="00027617" w:rsidRPr="003B37F4" w:rsidRDefault="00027617" w:rsidP="00027617">
            <w:pPr>
              <w:jc w:val="right"/>
              <w:rPr>
                <w:rFonts w:cs="Arial"/>
                <w:szCs w:val="20"/>
              </w:rPr>
            </w:pPr>
            <w:r w:rsidRPr="003B37F4">
              <w:rPr>
                <w:rFonts w:cs="Arial"/>
                <w:szCs w:val="20"/>
              </w:rPr>
              <w:t>(70,811)</w:t>
            </w:r>
          </w:p>
        </w:tc>
      </w:tr>
      <w:tr w:rsidR="00027617" w:rsidRPr="003B37F4" w14:paraId="4DA4CB2E" w14:textId="77777777" w:rsidTr="00B37CE0">
        <w:trPr>
          <w:trHeight w:val="300"/>
        </w:trPr>
        <w:tc>
          <w:tcPr>
            <w:tcW w:w="3323" w:type="dxa"/>
            <w:tcBorders>
              <w:top w:val="nil"/>
              <w:left w:val="nil"/>
              <w:bottom w:val="nil"/>
              <w:right w:val="nil"/>
            </w:tcBorders>
            <w:shd w:val="clear" w:color="auto" w:fill="auto"/>
            <w:noWrap/>
            <w:vAlign w:val="bottom"/>
            <w:hideMark/>
          </w:tcPr>
          <w:p w14:paraId="2FEFEC3F" w14:textId="77777777" w:rsidR="00027617" w:rsidRPr="003B37F4" w:rsidRDefault="00027617" w:rsidP="00027617">
            <w:pPr>
              <w:rPr>
                <w:rFonts w:cs="Arial"/>
                <w:szCs w:val="20"/>
              </w:rPr>
            </w:pPr>
            <w:r w:rsidRPr="003B37F4">
              <w:rPr>
                <w:rFonts w:cs="Arial"/>
                <w:szCs w:val="20"/>
              </w:rPr>
              <w:t>Personal Health Services</w:t>
            </w:r>
          </w:p>
        </w:tc>
        <w:tc>
          <w:tcPr>
            <w:tcW w:w="1661" w:type="dxa"/>
            <w:tcBorders>
              <w:top w:val="nil"/>
              <w:left w:val="nil"/>
              <w:bottom w:val="nil"/>
              <w:right w:val="nil"/>
            </w:tcBorders>
            <w:shd w:val="clear" w:color="auto" w:fill="auto"/>
            <w:noWrap/>
            <w:vAlign w:val="bottom"/>
            <w:hideMark/>
          </w:tcPr>
          <w:p w14:paraId="224706A7" w14:textId="0ACA6770" w:rsidR="00027617" w:rsidRPr="003B37F4" w:rsidRDefault="00027617" w:rsidP="00027617">
            <w:pPr>
              <w:jc w:val="right"/>
              <w:rPr>
                <w:rFonts w:cs="Arial"/>
                <w:szCs w:val="20"/>
              </w:rPr>
            </w:pPr>
            <w:r w:rsidRPr="003B37F4">
              <w:rPr>
                <w:rFonts w:cs="Arial"/>
                <w:szCs w:val="20"/>
              </w:rPr>
              <w:t xml:space="preserve">64,512 </w:t>
            </w:r>
          </w:p>
        </w:tc>
        <w:tc>
          <w:tcPr>
            <w:tcW w:w="222" w:type="dxa"/>
            <w:tcBorders>
              <w:top w:val="nil"/>
              <w:left w:val="nil"/>
              <w:bottom w:val="nil"/>
              <w:right w:val="nil"/>
            </w:tcBorders>
            <w:shd w:val="clear" w:color="auto" w:fill="auto"/>
            <w:noWrap/>
            <w:vAlign w:val="bottom"/>
            <w:hideMark/>
          </w:tcPr>
          <w:p w14:paraId="19D6FF60" w14:textId="77777777" w:rsidR="00027617" w:rsidRPr="003B37F4" w:rsidRDefault="00027617" w:rsidP="00027617">
            <w:pPr>
              <w:rPr>
                <w:rFonts w:cs="Arial"/>
                <w:b/>
                <w:bCs/>
                <w:i/>
                <w:iCs/>
                <w:szCs w:val="20"/>
              </w:rPr>
            </w:pPr>
          </w:p>
        </w:tc>
        <w:tc>
          <w:tcPr>
            <w:tcW w:w="222" w:type="dxa"/>
            <w:tcBorders>
              <w:top w:val="nil"/>
              <w:left w:val="nil"/>
              <w:bottom w:val="nil"/>
              <w:right w:val="nil"/>
            </w:tcBorders>
            <w:shd w:val="clear" w:color="auto" w:fill="auto"/>
            <w:noWrap/>
            <w:vAlign w:val="bottom"/>
            <w:hideMark/>
          </w:tcPr>
          <w:p w14:paraId="680FBD05" w14:textId="77777777" w:rsidR="00027617" w:rsidRPr="003B37F4" w:rsidRDefault="00027617" w:rsidP="00027617">
            <w:pPr>
              <w:rPr>
                <w:rFonts w:cs="Arial"/>
                <w:b/>
                <w:bCs/>
                <w:i/>
                <w:iCs/>
                <w:szCs w:val="20"/>
              </w:rPr>
            </w:pPr>
          </w:p>
        </w:tc>
        <w:tc>
          <w:tcPr>
            <w:tcW w:w="1920" w:type="dxa"/>
            <w:tcBorders>
              <w:top w:val="nil"/>
              <w:left w:val="nil"/>
              <w:bottom w:val="nil"/>
              <w:right w:val="nil"/>
            </w:tcBorders>
            <w:shd w:val="clear" w:color="auto" w:fill="auto"/>
            <w:noWrap/>
            <w:vAlign w:val="bottom"/>
            <w:hideMark/>
          </w:tcPr>
          <w:p w14:paraId="3ED35D08" w14:textId="4D9F59A3" w:rsidR="00027617" w:rsidRPr="003B37F4" w:rsidRDefault="00027617" w:rsidP="00027617">
            <w:pPr>
              <w:jc w:val="right"/>
              <w:rPr>
                <w:rFonts w:cs="Arial"/>
                <w:szCs w:val="20"/>
              </w:rPr>
            </w:pPr>
            <w:r w:rsidRPr="003B37F4">
              <w:rPr>
                <w:rFonts w:cs="Arial"/>
                <w:szCs w:val="20"/>
              </w:rPr>
              <w:t>(50,792)</w:t>
            </w:r>
          </w:p>
        </w:tc>
      </w:tr>
      <w:tr w:rsidR="00027617" w:rsidRPr="003B37F4" w14:paraId="12AD8BE2" w14:textId="77777777" w:rsidTr="00B37CE0">
        <w:trPr>
          <w:trHeight w:val="300"/>
        </w:trPr>
        <w:tc>
          <w:tcPr>
            <w:tcW w:w="3323" w:type="dxa"/>
            <w:tcBorders>
              <w:top w:val="nil"/>
              <w:left w:val="nil"/>
              <w:bottom w:val="nil"/>
              <w:right w:val="nil"/>
            </w:tcBorders>
            <w:shd w:val="clear" w:color="auto" w:fill="auto"/>
            <w:noWrap/>
            <w:vAlign w:val="bottom"/>
            <w:hideMark/>
          </w:tcPr>
          <w:p w14:paraId="4613844B" w14:textId="77777777" w:rsidR="00027617" w:rsidRPr="003B37F4" w:rsidRDefault="00027617" w:rsidP="00027617">
            <w:pPr>
              <w:rPr>
                <w:rFonts w:cs="Arial"/>
                <w:szCs w:val="20"/>
              </w:rPr>
            </w:pPr>
            <w:r w:rsidRPr="003B37F4">
              <w:rPr>
                <w:rFonts w:cs="Arial"/>
                <w:szCs w:val="20"/>
              </w:rPr>
              <w:t>Immunizations</w:t>
            </w:r>
          </w:p>
        </w:tc>
        <w:tc>
          <w:tcPr>
            <w:tcW w:w="1661" w:type="dxa"/>
            <w:tcBorders>
              <w:top w:val="nil"/>
              <w:left w:val="nil"/>
              <w:bottom w:val="nil"/>
              <w:right w:val="nil"/>
            </w:tcBorders>
            <w:shd w:val="clear" w:color="auto" w:fill="auto"/>
            <w:noWrap/>
            <w:vAlign w:val="bottom"/>
            <w:hideMark/>
          </w:tcPr>
          <w:p w14:paraId="75C71041" w14:textId="22DC22F1" w:rsidR="00027617" w:rsidRPr="003B37F4" w:rsidRDefault="00027617" w:rsidP="00027617">
            <w:pPr>
              <w:jc w:val="right"/>
              <w:rPr>
                <w:rFonts w:cs="Arial"/>
                <w:szCs w:val="20"/>
              </w:rPr>
            </w:pPr>
            <w:r w:rsidRPr="003B37F4">
              <w:rPr>
                <w:rFonts w:cs="Arial"/>
                <w:szCs w:val="20"/>
              </w:rPr>
              <w:t xml:space="preserve">50,509 </w:t>
            </w:r>
          </w:p>
        </w:tc>
        <w:tc>
          <w:tcPr>
            <w:tcW w:w="222" w:type="dxa"/>
            <w:tcBorders>
              <w:top w:val="nil"/>
              <w:left w:val="nil"/>
              <w:bottom w:val="nil"/>
              <w:right w:val="nil"/>
            </w:tcBorders>
            <w:shd w:val="clear" w:color="auto" w:fill="auto"/>
            <w:noWrap/>
            <w:vAlign w:val="bottom"/>
            <w:hideMark/>
          </w:tcPr>
          <w:p w14:paraId="70C773BD" w14:textId="77777777" w:rsidR="00027617" w:rsidRPr="003B37F4" w:rsidRDefault="00027617" w:rsidP="00027617">
            <w:pPr>
              <w:rPr>
                <w:rFonts w:cs="Arial"/>
                <w:b/>
                <w:bCs/>
                <w:i/>
                <w:iCs/>
                <w:szCs w:val="20"/>
              </w:rPr>
            </w:pPr>
          </w:p>
        </w:tc>
        <w:tc>
          <w:tcPr>
            <w:tcW w:w="222" w:type="dxa"/>
            <w:tcBorders>
              <w:top w:val="nil"/>
              <w:left w:val="nil"/>
              <w:bottom w:val="nil"/>
              <w:right w:val="nil"/>
            </w:tcBorders>
            <w:shd w:val="clear" w:color="auto" w:fill="auto"/>
            <w:noWrap/>
            <w:vAlign w:val="bottom"/>
            <w:hideMark/>
          </w:tcPr>
          <w:p w14:paraId="2EB009AE" w14:textId="77777777" w:rsidR="00027617" w:rsidRPr="003B37F4" w:rsidRDefault="00027617" w:rsidP="00027617">
            <w:pPr>
              <w:rPr>
                <w:rFonts w:cs="Arial"/>
                <w:b/>
                <w:bCs/>
                <w:i/>
                <w:iCs/>
                <w:szCs w:val="20"/>
              </w:rPr>
            </w:pPr>
          </w:p>
        </w:tc>
        <w:tc>
          <w:tcPr>
            <w:tcW w:w="1920" w:type="dxa"/>
            <w:tcBorders>
              <w:top w:val="nil"/>
              <w:left w:val="nil"/>
              <w:bottom w:val="nil"/>
              <w:right w:val="nil"/>
            </w:tcBorders>
            <w:shd w:val="clear" w:color="auto" w:fill="auto"/>
            <w:noWrap/>
            <w:vAlign w:val="bottom"/>
            <w:hideMark/>
          </w:tcPr>
          <w:p w14:paraId="327020F8" w14:textId="7C3AEAAC" w:rsidR="00027617" w:rsidRPr="003B37F4" w:rsidRDefault="00027617" w:rsidP="00027617">
            <w:pPr>
              <w:jc w:val="right"/>
              <w:rPr>
                <w:rFonts w:cs="Arial"/>
                <w:szCs w:val="20"/>
              </w:rPr>
            </w:pPr>
            <w:r w:rsidRPr="003B37F4">
              <w:rPr>
                <w:rFonts w:cs="Arial"/>
                <w:szCs w:val="20"/>
              </w:rPr>
              <w:t xml:space="preserve">12,648 </w:t>
            </w:r>
          </w:p>
        </w:tc>
      </w:tr>
      <w:tr w:rsidR="00027617" w:rsidRPr="003B37F4" w14:paraId="5E204901" w14:textId="77777777" w:rsidTr="00B37CE0">
        <w:trPr>
          <w:trHeight w:val="300"/>
        </w:trPr>
        <w:tc>
          <w:tcPr>
            <w:tcW w:w="3323" w:type="dxa"/>
            <w:tcBorders>
              <w:top w:val="nil"/>
              <w:left w:val="nil"/>
              <w:bottom w:val="nil"/>
              <w:right w:val="nil"/>
            </w:tcBorders>
            <w:shd w:val="clear" w:color="auto" w:fill="auto"/>
            <w:noWrap/>
            <w:vAlign w:val="bottom"/>
            <w:hideMark/>
          </w:tcPr>
          <w:p w14:paraId="26DC2303" w14:textId="77777777" w:rsidR="00027617" w:rsidRPr="003B37F4" w:rsidRDefault="00027617" w:rsidP="00027617">
            <w:pPr>
              <w:rPr>
                <w:rFonts w:cs="Arial"/>
                <w:szCs w:val="20"/>
              </w:rPr>
            </w:pPr>
            <w:r w:rsidRPr="003B37F4">
              <w:rPr>
                <w:rFonts w:cs="Arial"/>
                <w:szCs w:val="20"/>
              </w:rPr>
              <w:t>Laboratory</w:t>
            </w:r>
          </w:p>
        </w:tc>
        <w:tc>
          <w:tcPr>
            <w:tcW w:w="1661" w:type="dxa"/>
            <w:tcBorders>
              <w:top w:val="nil"/>
              <w:left w:val="nil"/>
              <w:bottom w:val="nil"/>
              <w:right w:val="nil"/>
            </w:tcBorders>
            <w:shd w:val="clear" w:color="auto" w:fill="auto"/>
            <w:noWrap/>
            <w:vAlign w:val="bottom"/>
            <w:hideMark/>
          </w:tcPr>
          <w:p w14:paraId="6637EF9F" w14:textId="6D9F8D77" w:rsidR="00027617" w:rsidRPr="003B37F4" w:rsidRDefault="00027617" w:rsidP="00027617">
            <w:pPr>
              <w:jc w:val="right"/>
              <w:rPr>
                <w:rFonts w:cs="Arial"/>
                <w:szCs w:val="20"/>
              </w:rPr>
            </w:pPr>
            <w:r w:rsidRPr="003B37F4">
              <w:rPr>
                <w:rFonts w:cs="Arial"/>
                <w:szCs w:val="20"/>
              </w:rPr>
              <w:t xml:space="preserve">13,419 </w:t>
            </w:r>
          </w:p>
        </w:tc>
        <w:tc>
          <w:tcPr>
            <w:tcW w:w="222" w:type="dxa"/>
            <w:tcBorders>
              <w:top w:val="nil"/>
              <w:left w:val="nil"/>
              <w:bottom w:val="nil"/>
              <w:right w:val="nil"/>
            </w:tcBorders>
            <w:shd w:val="clear" w:color="auto" w:fill="auto"/>
            <w:noWrap/>
            <w:vAlign w:val="bottom"/>
            <w:hideMark/>
          </w:tcPr>
          <w:p w14:paraId="0AF0962F" w14:textId="77777777" w:rsidR="00027617" w:rsidRPr="003B37F4" w:rsidRDefault="00027617" w:rsidP="00027617">
            <w:pPr>
              <w:rPr>
                <w:rFonts w:cs="Arial"/>
                <w:b/>
                <w:bCs/>
                <w:i/>
                <w:iCs/>
                <w:szCs w:val="20"/>
              </w:rPr>
            </w:pPr>
          </w:p>
        </w:tc>
        <w:tc>
          <w:tcPr>
            <w:tcW w:w="222" w:type="dxa"/>
            <w:tcBorders>
              <w:top w:val="nil"/>
              <w:left w:val="nil"/>
              <w:bottom w:val="nil"/>
              <w:right w:val="nil"/>
            </w:tcBorders>
            <w:shd w:val="clear" w:color="auto" w:fill="auto"/>
            <w:noWrap/>
            <w:vAlign w:val="bottom"/>
            <w:hideMark/>
          </w:tcPr>
          <w:p w14:paraId="4ABE405F" w14:textId="77777777" w:rsidR="00027617" w:rsidRPr="003B37F4" w:rsidRDefault="00027617" w:rsidP="00027617">
            <w:pPr>
              <w:rPr>
                <w:rFonts w:cs="Arial"/>
                <w:b/>
                <w:bCs/>
                <w:i/>
                <w:iCs/>
                <w:szCs w:val="20"/>
              </w:rPr>
            </w:pPr>
          </w:p>
        </w:tc>
        <w:tc>
          <w:tcPr>
            <w:tcW w:w="1920" w:type="dxa"/>
            <w:tcBorders>
              <w:top w:val="nil"/>
              <w:left w:val="nil"/>
              <w:bottom w:val="nil"/>
              <w:right w:val="nil"/>
            </w:tcBorders>
            <w:shd w:val="clear" w:color="auto" w:fill="auto"/>
            <w:noWrap/>
            <w:vAlign w:val="bottom"/>
            <w:hideMark/>
          </w:tcPr>
          <w:p w14:paraId="7FB8584C" w14:textId="55F2F8B9" w:rsidR="00027617" w:rsidRPr="003B37F4" w:rsidRDefault="00027617" w:rsidP="00027617">
            <w:pPr>
              <w:jc w:val="right"/>
              <w:rPr>
                <w:rFonts w:cs="Arial"/>
                <w:szCs w:val="20"/>
              </w:rPr>
            </w:pPr>
            <w:r w:rsidRPr="003B37F4">
              <w:rPr>
                <w:rFonts w:cs="Arial"/>
                <w:szCs w:val="20"/>
              </w:rPr>
              <w:t>(3,629)</w:t>
            </w:r>
          </w:p>
        </w:tc>
      </w:tr>
      <w:tr w:rsidR="00027617" w:rsidRPr="003B37F4" w14:paraId="6D4C98C9" w14:textId="77777777" w:rsidTr="00B37CE0">
        <w:trPr>
          <w:trHeight w:val="300"/>
        </w:trPr>
        <w:tc>
          <w:tcPr>
            <w:tcW w:w="3323" w:type="dxa"/>
            <w:tcBorders>
              <w:top w:val="nil"/>
              <w:left w:val="nil"/>
              <w:bottom w:val="nil"/>
              <w:right w:val="nil"/>
            </w:tcBorders>
            <w:shd w:val="clear" w:color="auto" w:fill="auto"/>
            <w:noWrap/>
            <w:vAlign w:val="bottom"/>
            <w:hideMark/>
          </w:tcPr>
          <w:p w14:paraId="179D8CB3" w14:textId="77777777" w:rsidR="00027617" w:rsidRPr="003B37F4" w:rsidRDefault="00027617" w:rsidP="00027617">
            <w:pPr>
              <w:rPr>
                <w:rFonts w:cs="Arial"/>
                <w:szCs w:val="20"/>
              </w:rPr>
            </w:pPr>
            <w:r w:rsidRPr="003B37F4">
              <w:rPr>
                <w:rFonts w:cs="Arial"/>
                <w:szCs w:val="20"/>
              </w:rPr>
              <w:t>Grants</w:t>
            </w:r>
          </w:p>
        </w:tc>
        <w:tc>
          <w:tcPr>
            <w:tcW w:w="1661" w:type="dxa"/>
            <w:tcBorders>
              <w:top w:val="nil"/>
              <w:left w:val="nil"/>
              <w:bottom w:val="nil"/>
              <w:right w:val="nil"/>
            </w:tcBorders>
            <w:shd w:val="clear" w:color="auto" w:fill="auto"/>
            <w:noWrap/>
            <w:vAlign w:val="bottom"/>
            <w:hideMark/>
          </w:tcPr>
          <w:p w14:paraId="122B60A2" w14:textId="77777777" w:rsidR="00027617" w:rsidRPr="003B37F4" w:rsidRDefault="00027617" w:rsidP="00027617">
            <w:pPr>
              <w:jc w:val="right"/>
              <w:rPr>
                <w:rFonts w:cs="Arial"/>
                <w:szCs w:val="20"/>
              </w:rPr>
            </w:pPr>
          </w:p>
        </w:tc>
        <w:tc>
          <w:tcPr>
            <w:tcW w:w="222" w:type="dxa"/>
            <w:tcBorders>
              <w:top w:val="nil"/>
              <w:left w:val="nil"/>
              <w:bottom w:val="nil"/>
              <w:right w:val="nil"/>
            </w:tcBorders>
            <w:shd w:val="clear" w:color="auto" w:fill="auto"/>
            <w:noWrap/>
            <w:vAlign w:val="bottom"/>
            <w:hideMark/>
          </w:tcPr>
          <w:p w14:paraId="2526E3C5" w14:textId="77777777" w:rsidR="00027617" w:rsidRPr="003B37F4" w:rsidRDefault="00027617" w:rsidP="00027617">
            <w:pPr>
              <w:rPr>
                <w:rFonts w:cs="Arial"/>
                <w:b/>
                <w:bCs/>
                <w:i/>
                <w:iCs/>
                <w:szCs w:val="20"/>
              </w:rPr>
            </w:pPr>
          </w:p>
        </w:tc>
        <w:tc>
          <w:tcPr>
            <w:tcW w:w="222" w:type="dxa"/>
            <w:tcBorders>
              <w:top w:val="nil"/>
              <w:left w:val="nil"/>
              <w:bottom w:val="nil"/>
              <w:right w:val="nil"/>
            </w:tcBorders>
            <w:shd w:val="clear" w:color="auto" w:fill="auto"/>
            <w:noWrap/>
            <w:vAlign w:val="bottom"/>
            <w:hideMark/>
          </w:tcPr>
          <w:p w14:paraId="5FFCC9E4" w14:textId="77777777" w:rsidR="00027617" w:rsidRPr="003B37F4" w:rsidRDefault="00027617" w:rsidP="00027617">
            <w:pPr>
              <w:rPr>
                <w:rFonts w:cs="Arial"/>
                <w:b/>
                <w:bCs/>
                <w:i/>
                <w:iCs/>
                <w:szCs w:val="20"/>
              </w:rPr>
            </w:pPr>
          </w:p>
        </w:tc>
        <w:tc>
          <w:tcPr>
            <w:tcW w:w="1920" w:type="dxa"/>
            <w:tcBorders>
              <w:top w:val="nil"/>
              <w:left w:val="nil"/>
              <w:bottom w:val="nil"/>
              <w:right w:val="nil"/>
            </w:tcBorders>
            <w:shd w:val="clear" w:color="auto" w:fill="auto"/>
            <w:noWrap/>
            <w:vAlign w:val="bottom"/>
            <w:hideMark/>
          </w:tcPr>
          <w:p w14:paraId="7FDA1B0C" w14:textId="77777777" w:rsidR="00027617" w:rsidRPr="003B37F4" w:rsidRDefault="00027617" w:rsidP="00027617">
            <w:pPr>
              <w:jc w:val="right"/>
              <w:rPr>
                <w:rFonts w:cs="Arial"/>
                <w:szCs w:val="20"/>
              </w:rPr>
            </w:pPr>
          </w:p>
        </w:tc>
      </w:tr>
      <w:tr w:rsidR="00027617" w:rsidRPr="003B37F4" w14:paraId="75F0D0C6" w14:textId="77777777" w:rsidTr="00B37CE0">
        <w:trPr>
          <w:trHeight w:val="300"/>
        </w:trPr>
        <w:tc>
          <w:tcPr>
            <w:tcW w:w="3323" w:type="dxa"/>
            <w:tcBorders>
              <w:top w:val="nil"/>
              <w:left w:val="nil"/>
              <w:bottom w:val="nil"/>
              <w:right w:val="nil"/>
            </w:tcBorders>
            <w:shd w:val="clear" w:color="auto" w:fill="auto"/>
            <w:noWrap/>
            <w:vAlign w:val="bottom"/>
            <w:hideMark/>
          </w:tcPr>
          <w:p w14:paraId="2E8E59EC" w14:textId="77777777" w:rsidR="00027617" w:rsidRPr="003B37F4" w:rsidRDefault="00027617" w:rsidP="00027617">
            <w:pPr>
              <w:rPr>
                <w:rFonts w:cs="Arial"/>
                <w:szCs w:val="20"/>
              </w:rPr>
            </w:pPr>
            <w:r w:rsidRPr="003B37F4">
              <w:rPr>
                <w:rFonts w:cs="Arial"/>
                <w:szCs w:val="20"/>
              </w:rPr>
              <w:t xml:space="preserve">   WIC</w:t>
            </w:r>
          </w:p>
        </w:tc>
        <w:tc>
          <w:tcPr>
            <w:tcW w:w="1661" w:type="dxa"/>
            <w:tcBorders>
              <w:top w:val="nil"/>
              <w:left w:val="nil"/>
              <w:bottom w:val="nil"/>
              <w:right w:val="nil"/>
            </w:tcBorders>
            <w:shd w:val="clear" w:color="auto" w:fill="auto"/>
            <w:noWrap/>
            <w:vAlign w:val="bottom"/>
            <w:hideMark/>
          </w:tcPr>
          <w:p w14:paraId="261C72CD" w14:textId="7CBB4A6C" w:rsidR="00027617" w:rsidRPr="003B37F4" w:rsidRDefault="00027617" w:rsidP="00027617">
            <w:pPr>
              <w:jc w:val="right"/>
              <w:rPr>
                <w:rFonts w:cs="Arial"/>
                <w:szCs w:val="20"/>
              </w:rPr>
            </w:pPr>
            <w:r w:rsidRPr="003B37F4">
              <w:rPr>
                <w:rFonts w:cs="Arial"/>
                <w:szCs w:val="20"/>
              </w:rPr>
              <w:t xml:space="preserve">157,355 </w:t>
            </w:r>
          </w:p>
        </w:tc>
        <w:tc>
          <w:tcPr>
            <w:tcW w:w="222" w:type="dxa"/>
            <w:tcBorders>
              <w:top w:val="nil"/>
              <w:left w:val="nil"/>
              <w:bottom w:val="nil"/>
              <w:right w:val="nil"/>
            </w:tcBorders>
            <w:shd w:val="clear" w:color="auto" w:fill="auto"/>
            <w:noWrap/>
            <w:vAlign w:val="bottom"/>
            <w:hideMark/>
          </w:tcPr>
          <w:p w14:paraId="2C6CE190" w14:textId="77777777" w:rsidR="00027617" w:rsidRPr="003B37F4" w:rsidRDefault="00027617" w:rsidP="00027617">
            <w:pPr>
              <w:rPr>
                <w:rFonts w:cs="Arial"/>
                <w:b/>
                <w:bCs/>
                <w:i/>
                <w:iCs/>
                <w:szCs w:val="20"/>
              </w:rPr>
            </w:pPr>
          </w:p>
        </w:tc>
        <w:tc>
          <w:tcPr>
            <w:tcW w:w="222" w:type="dxa"/>
            <w:tcBorders>
              <w:top w:val="nil"/>
              <w:left w:val="nil"/>
              <w:bottom w:val="nil"/>
              <w:right w:val="nil"/>
            </w:tcBorders>
            <w:shd w:val="clear" w:color="auto" w:fill="auto"/>
            <w:noWrap/>
            <w:vAlign w:val="bottom"/>
            <w:hideMark/>
          </w:tcPr>
          <w:p w14:paraId="681628E7" w14:textId="77777777" w:rsidR="00027617" w:rsidRPr="003B37F4" w:rsidRDefault="00027617" w:rsidP="00027617">
            <w:pPr>
              <w:rPr>
                <w:rFonts w:cs="Arial"/>
                <w:b/>
                <w:bCs/>
                <w:i/>
                <w:iCs/>
                <w:szCs w:val="20"/>
              </w:rPr>
            </w:pPr>
          </w:p>
        </w:tc>
        <w:tc>
          <w:tcPr>
            <w:tcW w:w="1920" w:type="dxa"/>
            <w:tcBorders>
              <w:top w:val="nil"/>
              <w:left w:val="nil"/>
              <w:bottom w:val="nil"/>
              <w:right w:val="nil"/>
            </w:tcBorders>
            <w:shd w:val="clear" w:color="auto" w:fill="auto"/>
            <w:noWrap/>
            <w:vAlign w:val="bottom"/>
            <w:hideMark/>
          </w:tcPr>
          <w:p w14:paraId="352C0CB8" w14:textId="6335C022" w:rsidR="00027617" w:rsidRPr="003B37F4" w:rsidRDefault="00027617" w:rsidP="00027617">
            <w:pPr>
              <w:jc w:val="right"/>
              <w:rPr>
                <w:rFonts w:cs="Arial"/>
                <w:szCs w:val="20"/>
              </w:rPr>
            </w:pPr>
            <w:r w:rsidRPr="003B37F4">
              <w:rPr>
                <w:rFonts w:cs="Arial"/>
                <w:szCs w:val="20"/>
              </w:rPr>
              <w:t xml:space="preserve">453 </w:t>
            </w:r>
          </w:p>
        </w:tc>
      </w:tr>
      <w:tr w:rsidR="00027617" w:rsidRPr="003B37F4" w14:paraId="045290C2" w14:textId="77777777" w:rsidTr="00B37CE0">
        <w:trPr>
          <w:trHeight w:val="300"/>
        </w:trPr>
        <w:tc>
          <w:tcPr>
            <w:tcW w:w="3323" w:type="dxa"/>
            <w:tcBorders>
              <w:top w:val="nil"/>
              <w:left w:val="nil"/>
              <w:bottom w:val="nil"/>
              <w:right w:val="nil"/>
            </w:tcBorders>
            <w:shd w:val="clear" w:color="auto" w:fill="auto"/>
            <w:noWrap/>
            <w:vAlign w:val="bottom"/>
          </w:tcPr>
          <w:p w14:paraId="32862548" w14:textId="7216A3B9" w:rsidR="00027617" w:rsidRPr="003B37F4" w:rsidRDefault="00027617" w:rsidP="00027617">
            <w:pPr>
              <w:rPr>
                <w:rFonts w:cs="Arial"/>
                <w:szCs w:val="20"/>
              </w:rPr>
            </w:pPr>
            <w:r w:rsidRPr="003B37F4">
              <w:rPr>
                <w:rFonts w:cs="Arial"/>
                <w:szCs w:val="20"/>
              </w:rPr>
              <w:t xml:space="preserve">   GVO</w:t>
            </w:r>
          </w:p>
        </w:tc>
        <w:tc>
          <w:tcPr>
            <w:tcW w:w="1661" w:type="dxa"/>
            <w:tcBorders>
              <w:top w:val="nil"/>
              <w:left w:val="nil"/>
              <w:bottom w:val="nil"/>
              <w:right w:val="nil"/>
            </w:tcBorders>
            <w:shd w:val="clear" w:color="auto" w:fill="auto"/>
            <w:noWrap/>
            <w:vAlign w:val="bottom"/>
          </w:tcPr>
          <w:p w14:paraId="5F50FD9E" w14:textId="6C90AB28" w:rsidR="00027617" w:rsidRPr="003B37F4" w:rsidRDefault="00027617" w:rsidP="00027617">
            <w:pPr>
              <w:jc w:val="right"/>
              <w:rPr>
                <w:rFonts w:cs="Arial"/>
                <w:szCs w:val="20"/>
              </w:rPr>
            </w:pPr>
            <w:r w:rsidRPr="003B37F4">
              <w:rPr>
                <w:rFonts w:cs="Arial"/>
                <w:szCs w:val="20"/>
              </w:rPr>
              <w:t xml:space="preserve">17,034 </w:t>
            </w:r>
          </w:p>
        </w:tc>
        <w:tc>
          <w:tcPr>
            <w:tcW w:w="222" w:type="dxa"/>
            <w:tcBorders>
              <w:top w:val="nil"/>
              <w:left w:val="nil"/>
              <w:bottom w:val="nil"/>
              <w:right w:val="nil"/>
            </w:tcBorders>
            <w:shd w:val="clear" w:color="auto" w:fill="auto"/>
            <w:noWrap/>
            <w:vAlign w:val="bottom"/>
          </w:tcPr>
          <w:p w14:paraId="411E74A9" w14:textId="77777777" w:rsidR="00027617" w:rsidRPr="003B37F4" w:rsidRDefault="00027617" w:rsidP="00027617">
            <w:pPr>
              <w:rPr>
                <w:rFonts w:cs="Arial"/>
                <w:b/>
                <w:bCs/>
                <w:i/>
                <w:iCs/>
                <w:szCs w:val="20"/>
              </w:rPr>
            </w:pPr>
          </w:p>
        </w:tc>
        <w:tc>
          <w:tcPr>
            <w:tcW w:w="222" w:type="dxa"/>
            <w:tcBorders>
              <w:top w:val="nil"/>
              <w:left w:val="nil"/>
              <w:bottom w:val="nil"/>
              <w:right w:val="nil"/>
            </w:tcBorders>
            <w:shd w:val="clear" w:color="auto" w:fill="auto"/>
            <w:noWrap/>
            <w:vAlign w:val="bottom"/>
          </w:tcPr>
          <w:p w14:paraId="486E3E34" w14:textId="77777777" w:rsidR="00027617" w:rsidRPr="003B37F4" w:rsidRDefault="00027617" w:rsidP="00027617">
            <w:pPr>
              <w:rPr>
                <w:rFonts w:cs="Arial"/>
                <w:b/>
                <w:bCs/>
                <w:i/>
                <w:iCs/>
                <w:szCs w:val="20"/>
              </w:rPr>
            </w:pPr>
          </w:p>
        </w:tc>
        <w:tc>
          <w:tcPr>
            <w:tcW w:w="1920" w:type="dxa"/>
            <w:tcBorders>
              <w:top w:val="nil"/>
              <w:left w:val="nil"/>
              <w:bottom w:val="nil"/>
              <w:right w:val="nil"/>
            </w:tcBorders>
            <w:shd w:val="clear" w:color="auto" w:fill="auto"/>
            <w:noWrap/>
            <w:vAlign w:val="bottom"/>
          </w:tcPr>
          <w:p w14:paraId="48551D51" w14:textId="71BA6DF7" w:rsidR="00027617" w:rsidRPr="003B37F4" w:rsidRDefault="00027617" w:rsidP="00027617">
            <w:pPr>
              <w:jc w:val="right"/>
              <w:rPr>
                <w:rFonts w:cs="Arial"/>
                <w:szCs w:val="20"/>
              </w:rPr>
            </w:pPr>
            <w:r w:rsidRPr="003B37F4">
              <w:rPr>
                <w:rFonts w:cs="Arial"/>
                <w:szCs w:val="20"/>
              </w:rPr>
              <w:t>(8,992)</w:t>
            </w:r>
          </w:p>
        </w:tc>
      </w:tr>
      <w:tr w:rsidR="00027617" w:rsidRPr="003B37F4" w14:paraId="5739349A" w14:textId="77777777" w:rsidTr="00B37CE0">
        <w:trPr>
          <w:trHeight w:val="300"/>
        </w:trPr>
        <w:tc>
          <w:tcPr>
            <w:tcW w:w="3323" w:type="dxa"/>
            <w:tcBorders>
              <w:top w:val="nil"/>
              <w:left w:val="nil"/>
              <w:bottom w:val="nil"/>
              <w:right w:val="nil"/>
            </w:tcBorders>
            <w:shd w:val="clear" w:color="auto" w:fill="auto"/>
            <w:noWrap/>
            <w:vAlign w:val="bottom"/>
            <w:hideMark/>
          </w:tcPr>
          <w:p w14:paraId="6E881E44" w14:textId="24495D6E" w:rsidR="00027617" w:rsidRPr="003B37F4" w:rsidRDefault="00027617" w:rsidP="00027617">
            <w:pPr>
              <w:rPr>
                <w:rFonts w:cs="Arial"/>
                <w:szCs w:val="20"/>
              </w:rPr>
            </w:pPr>
            <w:r w:rsidRPr="003B37F4">
              <w:rPr>
                <w:rFonts w:cs="Arial"/>
                <w:szCs w:val="20"/>
              </w:rPr>
              <w:t xml:space="preserve">   COVID Supplies/Equipment</w:t>
            </w:r>
          </w:p>
        </w:tc>
        <w:tc>
          <w:tcPr>
            <w:tcW w:w="1661" w:type="dxa"/>
            <w:tcBorders>
              <w:top w:val="nil"/>
              <w:left w:val="nil"/>
              <w:bottom w:val="nil"/>
              <w:right w:val="nil"/>
            </w:tcBorders>
            <w:shd w:val="clear" w:color="auto" w:fill="auto"/>
            <w:noWrap/>
            <w:vAlign w:val="bottom"/>
            <w:hideMark/>
          </w:tcPr>
          <w:p w14:paraId="76FE14F4" w14:textId="47C30591" w:rsidR="00027617" w:rsidRPr="003B37F4" w:rsidRDefault="00027617" w:rsidP="00027617">
            <w:pPr>
              <w:jc w:val="right"/>
              <w:rPr>
                <w:rFonts w:cs="Arial"/>
                <w:szCs w:val="20"/>
              </w:rPr>
            </w:pPr>
            <w:r w:rsidRPr="003B37F4">
              <w:rPr>
                <w:rFonts w:cs="Arial"/>
                <w:szCs w:val="20"/>
              </w:rPr>
              <w:t xml:space="preserve">69,766 </w:t>
            </w:r>
          </w:p>
        </w:tc>
        <w:tc>
          <w:tcPr>
            <w:tcW w:w="222" w:type="dxa"/>
            <w:tcBorders>
              <w:top w:val="nil"/>
              <w:left w:val="nil"/>
              <w:bottom w:val="nil"/>
              <w:right w:val="nil"/>
            </w:tcBorders>
            <w:shd w:val="clear" w:color="auto" w:fill="auto"/>
            <w:noWrap/>
            <w:vAlign w:val="bottom"/>
            <w:hideMark/>
          </w:tcPr>
          <w:p w14:paraId="0C76D765" w14:textId="77777777" w:rsidR="00027617" w:rsidRPr="003B37F4" w:rsidRDefault="00027617" w:rsidP="00027617">
            <w:pPr>
              <w:rPr>
                <w:rFonts w:cs="Arial"/>
                <w:b/>
                <w:bCs/>
                <w:i/>
                <w:iCs/>
                <w:szCs w:val="20"/>
              </w:rPr>
            </w:pPr>
          </w:p>
        </w:tc>
        <w:tc>
          <w:tcPr>
            <w:tcW w:w="222" w:type="dxa"/>
            <w:tcBorders>
              <w:top w:val="nil"/>
              <w:left w:val="nil"/>
              <w:bottom w:val="nil"/>
              <w:right w:val="nil"/>
            </w:tcBorders>
            <w:shd w:val="clear" w:color="auto" w:fill="auto"/>
            <w:noWrap/>
            <w:vAlign w:val="bottom"/>
            <w:hideMark/>
          </w:tcPr>
          <w:p w14:paraId="4631EFD2" w14:textId="77777777" w:rsidR="00027617" w:rsidRPr="003B37F4" w:rsidRDefault="00027617" w:rsidP="00027617">
            <w:pPr>
              <w:rPr>
                <w:rFonts w:cs="Arial"/>
                <w:b/>
                <w:bCs/>
                <w:i/>
                <w:iCs/>
                <w:szCs w:val="20"/>
              </w:rPr>
            </w:pPr>
          </w:p>
        </w:tc>
        <w:tc>
          <w:tcPr>
            <w:tcW w:w="1920" w:type="dxa"/>
            <w:tcBorders>
              <w:top w:val="nil"/>
              <w:left w:val="nil"/>
              <w:bottom w:val="nil"/>
              <w:right w:val="nil"/>
            </w:tcBorders>
            <w:shd w:val="clear" w:color="auto" w:fill="auto"/>
            <w:noWrap/>
            <w:vAlign w:val="bottom"/>
            <w:hideMark/>
          </w:tcPr>
          <w:p w14:paraId="04CA12A0" w14:textId="28B4D970" w:rsidR="00027617" w:rsidRPr="003B37F4" w:rsidRDefault="00027617" w:rsidP="00027617">
            <w:pPr>
              <w:jc w:val="right"/>
              <w:rPr>
                <w:rFonts w:cs="Arial"/>
                <w:szCs w:val="20"/>
              </w:rPr>
            </w:pPr>
            <w:r w:rsidRPr="003B37F4">
              <w:rPr>
                <w:rFonts w:cs="Arial"/>
                <w:szCs w:val="20"/>
              </w:rPr>
              <w:t xml:space="preserve">56,806 </w:t>
            </w:r>
          </w:p>
        </w:tc>
      </w:tr>
      <w:tr w:rsidR="00027617" w:rsidRPr="003B37F4" w14:paraId="0D5A901D" w14:textId="77777777" w:rsidTr="00B37CE0">
        <w:trPr>
          <w:trHeight w:val="300"/>
        </w:trPr>
        <w:tc>
          <w:tcPr>
            <w:tcW w:w="3323" w:type="dxa"/>
            <w:tcBorders>
              <w:top w:val="nil"/>
              <w:left w:val="nil"/>
              <w:bottom w:val="nil"/>
              <w:right w:val="nil"/>
            </w:tcBorders>
            <w:shd w:val="clear" w:color="auto" w:fill="auto"/>
            <w:noWrap/>
            <w:vAlign w:val="bottom"/>
            <w:hideMark/>
          </w:tcPr>
          <w:p w14:paraId="48A3E5CA" w14:textId="77777777" w:rsidR="00027617" w:rsidRPr="003B37F4" w:rsidRDefault="00027617" w:rsidP="00027617">
            <w:pPr>
              <w:rPr>
                <w:rFonts w:cs="Arial"/>
                <w:szCs w:val="20"/>
              </w:rPr>
            </w:pPr>
            <w:r w:rsidRPr="003B37F4">
              <w:rPr>
                <w:rFonts w:cs="Arial"/>
                <w:szCs w:val="20"/>
              </w:rPr>
              <w:t xml:space="preserve">   Public Health Emergency</w:t>
            </w:r>
          </w:p>
        </w:tc>
        <w:tc>
          <w:tcPr>
            <w:tcW w:w="1661" w:type="dxa"/>
            <w:tcBorders>
              <w:top w:val="nil"/>
              <w:left w:val="nil"/>
              <w:bottom w:val="nil"/>
              <w:right w:val="nil"/>
            </w:tcBorders>
            <w:shd w:val="clear" w:color="auto" w:fill="auto"/>
            <w:noWrap/>
            <w:vAlign w:val="bottom"/>
            <w:hideMark/>
          </w:tcPr>
          <w:p w14:paraId="52B35B29" w14:textId="383A4F2D" w:rsidR="00027617" w:rsidRPr="003B37F4" w:rsidRDefault="00027617" w:rsidP="00027617">
            <w:pPr>
              <w:jc w:val="right"/>
              <w:rPr>
                <w:rFonts w:cs="Arial"/>
                <w:szCs w:val="20"/>
              </w:rPr>
            </w:pPr>
            <w:r w:rsidRPr="003B37F4">
              <w:rPr>
                <w:rFonts w:cs="Arial"/>
                <w:szCs w:val="20"/>
              </w:rPr>
              <w:t xml:space="preserve">79,799 </w:t>
            </w:r>
          </w:p>
        </w:tc>
        <w:tc>
          <w:tcPr>
            <w:tcW w:w="222" w:type="dxa"/>
            <w:tcBorders>
              <w:top w:val="nil"/>
              <w:left w:val="nil"/>
              <w:bottom w:val="nil"/>
              <w:right w:val="nil"/>
            </w:tcBorders>
            <w:shd w:val="clear" w:color="auto" w:fill="auto"/>
            <w:noWrap/>
            <w:vAlign w:val="bottom"/>
            <w:hideMark/>
          </w:tcPr>
          <w:p w14:paraId="45BD197F" w14:textId="77777777" w:rsidR="00027617" w:rsidRPr="003B37F4" w:rsidRDefault="00027617" w:rsidP="00027617">
            <w:pPr>
              <w:rPr>
                <w:rFonts w:cs="Arial"/>
                <w:b/>
                <w:bCs/>
                <w:i/>
                <w:iCs/>
                <w:szCs w:val="20"/>
              </w:rPr>
            </w:pPr>
          </w:p>
        </w:tc>
        <w:tc>
          <w:tcPr>
            <w:tcW w:w="222" w:type="dxa"/>
            <w:tcBorders>
              <w:top w:val="nil"/>
              <w:left w:val="nil"/>
              <w:bottom w:val="nil"/>
              <w:right w:val="nil"/>
            </w:tcBorders>
            <w:shd w:val="clear" w:color="auto" w:fill="auto"/>
            <w:noWrap/>
            <w:vAlign w:val="bottom"/>
            <w:hideMark/>
          </w:tcPr>
          <w:p w14:paraId="028802AB" w14:textId="77777777" w:rsidR="00027617" w:rsidRPr="003B37F4" w:rsidRDefault="00027617" w:rsidP="00027617">
            <w:pPr>
              <w:rPr>
                <w:rFonts w:cs="Arial"/>
                <w:b/>
                <w:bCs/>
                <w:i/>
                <w:iCs/>
                <w:szCs w:val="20"/>
              </w:rPr>
            </w:pPr>
          </w:p>
        </w:tc>
        <w:tc>
          <w:tcPr>
            <w:tcW w:w="1920" w:type="dxa"/>
            <w:tcBorders>
              <w:top w:val="nil"/>
              <w:left w:val="nil"/>
              <w:bottom w:val="nil"/>
              <w:right w:val="nil"/>
            </w:tcBorders>
            <w:shd w:val="clear" w:color="auto" w:fill="auto"/>
            <w:noWrap/>
            <w:vAlign w:val="bottom"/>
            <w:hideMark/>
          </w:tcPr>
          <w:p w14:paraId="36DB1251" w14:textId="37811D21" w:rsidR="00027617" w:rsidRPr="003B37F4" w:rsidRDefault="00027617" w:rsidP="00027617">
            <w:pPr>
              <w:jc w:val="right"/>
              <w:rPr>
                <w:rFonts w:cs="Arial"/>
                <w:szCs w:val="20"/>
              </w:rPr>
            </w:pPr>
            <w:r w:rsidRPr="003B37F4">
              <w:rPr>
                <w:rFonts w:cs="Arial"/>
                <w:szCs w:val="20"/>
              </w:rPr>
              <w:t xml:space="preserve">41,552 </w:t>
            </w:r>
          </w:p>
        </w:tc>
      </w:tr>
      <w:tr w:rsidR="00027617" w:rsidRPr="003B37F4" w14:paraId="0C184C65" w14:textId="77777777" w:rsidTr="00B37CE0">
        <w:trPr>
          <w:trHeight w:val="300"/>
        </w:trPr>
        <w:tc>
          <w:tcPr>
            <w:tcW w:w="3323" w:type="dxa"/>
            <w:tcBorders>
              <w:top w:val="nil"/>
              <w:left w:val="nil"/>
              <w:bottom w:val="nil"/>
              <w:right w:val="nil"/>
            </w:tcBorders>
            <w:shd w:val="clear" w:color="auto" w:fill="auto"/>
            <w:noWrap/>
            <w:vAlign w:val="bottom"/>
          </w:tcPr>
          <w:p w14:paraId="6657551E" w14:textId="77777777" w:rsidR="00027617" w:rsidRPr="003B37F4" w:rsidRDefault="00027617" w:rsidP="00027617">
            <w:pPr>
              <w:rPr>
                <w:rFonts w:cs="Arial"/>
                <w:szCs w:val="20"/>
              </w:rPr>
            </w:pPr>
            <w:r w:rsidRPr="003B37F4">
              <w:rPr>
                <w:rFonts w:cs="Arial"/>
                <w:szCs w:val="20"/>
              </w:rPr>
              <w:t>Vital Statistics</w:t>
            </w:r>
          </w:p>
        </w:tc>
        <w:tc>
          <w:tcPr>
            <w:tcW w:w="1661" w:type="dxa"/>
            <w:tcBorders>
              <w:top w:val="nil"/>
              <w:left w:val="nil"/>
              <w:bottom w:val="nil"/>
              <w:right w:val="nil"/>
            </w:tcBorders>
            <w:shd w:val="clear" w:color="auto" w:fill="auto"/>
            <w:noWrap/>
            <w:vAlign w:val="bottom"/>
          </w:tcPr>
          <w:p w14:paraId="3F693CA9" w14:textId="529C0867" w:rsidR="00027617" w:rsidRPr="003B37F4" w:rsidRDefault="00027617" w:rsidP="00027617">
            <w:pPr>
              <w:jc w:val="right"/>
              <w:rPr>
                <w:rFonts w:cs="Arial"/>
                <w:szCs w:val="20"/>
              </w:rPr>
            </w:pPr>
            <w:r w:rsidRPr="003B37F4">
              <w:rPr>
                <w:rFonts w:cs="Arial"/>
                <w:szCs w:val="20"/>
              </w:rPr>
              <w:t xml:space="preserve">24,792 </w:t>
            </w:r>
          </w:p>
        </w:tc>
        <w:tc>
          <w:tcPr>
            <w:tcW w:w="222" w:type="dxa"/>
            <w:tcBorders>
              <w:top w:val="nil"/>
              <w:left w:val="nil"/>
              <w:bottom w:val="nil"/>
              <w:right w:val="nil"/>
            </w:tcBorders>
            <w:shd w:val="clear" w:color="auto" w:fill="auto"/>
            <w:noWrap/>
            <w:vAlign w:val="bottom"/>
          </w:tcPr>
          <w:p w14:paraId="4348F44A" w14:textId="77777777" w:rsidR="00027617" w:rsidRPr="003B37F4" w:rsidRDefault="00027617" w:rsidP="00027617">
            <w:pPr>
              <w:rPr>
                <w:rFonts w:cs="Arial"/>
                <w:b/>
                <w:bCs/>
                <w:i/>
                <w:iCs/>
                <w:szCs w:val="20"/>
              </w:rPr>
            </w:pPr>
          </w:p>
        </w:tc>
        <w:tc>
          <w:tcPr>
            <w:tcW w:w="222" w:type="dxa"/>
            <w:tcBorders>
              <w:top w:val="nil"/>
              <w:left w:val="nil"/>
              <w:bottom w:val="nil"/>
              <w:right w:val="nil"/>
            </w:tcBorders>
            <w:shd w:val="clear" w:color="auto" w:fill="auto"/>
            <w:noWrap/>
            <w:vAlign w:val="bottom"/>
          </w:tcPr>
          <w:p w14:paraId="60D08D01" w14:textId="77777777" w:rsidR="00027617" w:rsidRPr="003B37F4" w:rsidRDefault="00027617" w:rsidP="00027617">
            <w:pPr>
              <w:rPr>
                <w:rFonts w:cs="Arial"/>
                <w:b/>
                <w:bCs/>
                <w:i/>
                <w:iCs/>
                <w:szCs w:val="20"/>
              </w:rPr>
            </w:pPr>
          </w:p>
        </w:tc>
        <w:tc>
          <w:tcPr>
            <w:tcW w:w="1920" w:type="dxa"/>
            <w:tcBorders>
              <w:top w:val="nil"/>
              <w:left w:val="nil"/>
              <w:bottom w:val="nil"/>
              <w:right w:val="nil"/>
            </w:tcBorders>
            <w:shd w:val="clear" w:color="auto" w:fill="auto"/>
            <w:noWrap/>
            <w:vAlign w:val="bottom"/>
          </w:tcPr>
          <w:p w14:paraId="3BBE3C33" w14:textId="1AD6A57F" w:rsidR="00027617" w:rsidRPr="003B37F4" w:rsidRDefault="00027617" w:rsidP="00027617">
            <w:pPr>
              <w:jc w:val="right"/>
              <w:rPr>
                <w:rFonts w:cs="Arial"/>
                <w:szCs w:val="20"/>
              </w:rPr>
            </w:pPr>
            <w:r w:rsidRPr="003B37F4">
              <w:rPr>
                <w:rFonts w:cs="Arial"/>
                <w:szCs w:val="20"/>
              </w:rPr>
              <w:t xml:space="preserve">22,969 </w:t>
            </w:r>
          </w:p>
        </w:tc>
      </w:tr>
      <w:tr w:rsidR="00027617" w:rsidRPr="003B37F4" w14:paraId="1CA4EF99" w14:textId="77777777" w:rsidTr="00B37CE0">
        <w:trPr>
          <w:trHeight w:val="300"/>
        </w:trPr>
        <w:tc>
          <w:tcPr>
            <w:tcW w:w="3323" w:type="dxa"/>
            <w:tcBorders>
              <w:top w:val="nil"/>
              <w:left w:val="nil"/>
              <w:bottom w:val="nil"/>
              <w:right w:val="nil"/>
            </w:tcBorders>
            <w:shd w:val="clear" w:color="auto" w:fill="auto"/>
            <w:noWrap/>
            <w:vAlign w:val="bottom"/>
            <w:hideMark/>
          </w:tcPr>
          <w:p w14:paraId="1B376655" w14:textId="77777777" w:rsidR="00027617" w:rsidRPr="003B37F4" w:rsidRDefault="00027617" w:rsidP="00027617">
            <w:pPr>
              <w:rPr>
                <w:rFonts w:cs="Arial"/>
                <w:szCs w:val="20"/>
              </w:rPr>
            </w:pPr>
            <w:r w:rsidRPr="003B37F4">
              <w:rPr>
                <w:rFonts w:cs="Arial"/>
                <w:szCs w:val="20"/>
              </w:rPr>
              <w:t xml:space="preserve">   Child Abuse Prevention</w:t>
            </w:r>
          </w:p>
        </w:tc>
        <w:tc>
          <w:tcPr>
            <w:tcW w:w="1661" w:type="dxa"/>
            <w:tcBorders>
              <w:top w:val="nil"/>
              <w:left w:val="nil"/>
              <w:bottom w:val="nil"/>
              <w:right w:val="nil"/>
            </w:tcBorders>
            <w:shd w:val="clear" w:color="auto" w:fill="auto"/>
            <w:noWrap/>
            <w:vAlign w:val="bottom"/>
            <w:hideMark/>
          </w:tcPr>
          <w:p w14:paraId="375D81BA" w14:textId="5D2D5EE9" w:rsidR="00027617" w:rsidRPr="003B37F4" w:rsidRDefault="00027617" w:rsidP="00027617">
            <w:pPr>
              <w:jc w:val="right"/>
              <w:rPr>
                <w:rFonts w:cs="Arial"/>
                <w:szCs w:val="20"/>
              </w:rPr>
            </w:pPr>
            <w:r w:rsidRPr="003B37F4">
              <w:rPr>
                <w:rFonts w:cs="Arial"/>
                <w:szCs w:val="20"/>
              </w:rPr>
              <w:t xml:space="preserve">11,929 </w:t>
            </w:r>
          </w:p>
        </w:tc>
        <w:tc>
          <w:tcPr>
            <w:tcW w:w="222" w:type="dxa"/>
            <w:tcBorders>
              <w:top w:val="nil"/>
              <w:left w:val="nil"/>
              <w:bottom w:val="nil"/>
              <w:right w:val="nil"/>
            </w:tcBorders>
            <w:shd w:val="clear" w:color="auto" w:fill="auto"/>
            <w:noWrap/>
            <w:vAlign w:val="bottom"/>
            <w:hideMark/>
          </w:tcPr>
          <w:p w14:paraId="194694EA" w14:textId="77777777" w:rsidR="00027617" w:rsidRPr="003B37F4" w:rsidRDefault="00027617" w:rsidP="00027617">
            <w:pPr>
              <w:rPr>
                <w:rFonts w:cs="Arial"/>
                <w:b/>
                <w:bCs/>
                <w:i/>
                <w:iCs/>
                <w:szCs w:val="20"/>
              </w:rPr>
            </w:pPr>
          </w:p>
        </w:tc>
        <w:tc>
          <w:tcPr>
            <w:tcW w:w="222" w:type="dxa"/>
            <w:tcBorders>
              <w:top w:val="nil"/>
              <w:left w:val="nil"/>
              <w:bottom w:val="nil"/>
              <w:right w:val="nil"/>
            </w:tcBorders>
            <w:shd w:val="clear" w:color="auto" w:fill="auto"/>
            <w:noWrap/>
            <w:vAlign w:val="bottom"/>
            <w:hideMark/>
          </w:tcPr>
          <w:p w14:paraId="43CB8E67" w14:textId="77777777" w:rsidR="00027617" w:rsidRPr="003B37F4" w:rsidRDefault="00027617" w:rsidP="00027617">
            <w:pPr>
              <w:rPr>
                <w:rFonts w:cs="Arial"/>
                <w:b/>
                <w:bCs/>
                <w:i/>
                <w:iCs/>
                <w:szCs w:val="20"/>
              </w:rPr>
            </w:pPr>
          </w:p>
        </w:tc>
        <w:tc>
          <w:tcPr>
            <w:tcW w:w="1920" w:type="dxa"/>
            <w:tcBorders>
              <w:top w:val="nil"/>
              <w:left w:val="nil"/>
              <w:bottom w:val="nil"/>
              <w:right w:val="nil"/>
            </w:tcBorders>
            <w:shd w:val="clear" w:color="auto" w:fill="auto"/>
            <w:noWrap/>
            <w:vAlign w:val="bottom"/>
            <w:hideMark/>
          </w:tcPr>
          <w:p w14:paraId="7322E480" w14:textId="53EAB07F" w:rsidR="00027617" w:rsidRPr="003B37F4" w:rsidRDefault="00027617" w:rsidP="00027617">
            <w:pPr>
              <w:jc w:val="right"/>
              <w:rPr>
                <w:rFonts w:cs="Arial"/>
                <w:szCs w:val="20"/>
              </w:rPr>
            </w:pPr>
            <w:r w:rsidRPr="003B37F4">
              <w:rPr>
                <w:rFonts w:cs="Arial"/>
                <w:szCs w:val="20"/>
              </w:rPr>
              <w:t>(404)</w:t>
            </w:r>
          </w:p>
        </w:tc>
      </w:tr>
      <w:tr w:rsidR="00027617" w:rsidRPr="003B37F4" w14:paraId="4E93C4D8" w14:textId="77777777" w:rsidTr="00B37CE0">
        <w:trPr>
          <w:trHeight w:val="300"/>
        </w:trPr>
        <w:tc>
          <w:tcPr>
            <w:tcW w:w="3323" w:type="dxa"/>
            <w:tcBorders>
              <w:top w:val="nil"/>
              <w:left w:val="nil"/>
              <w:bottom w:val="nil"/>
              <w:right w:val="nil"/>
            </w:tcBorders>
            <w:shd w:val="clear" w:color="auto" w:fill="auto"/>
            <w:noWrap/>
            <w:vAlign w:val="bottom"/>
            <w:hideMark/>
          </w:tcPr>
          <w:p w14:paraId="7E888609" w14:textId="77777777" w:rsidR="00027617" w:rsidRPr="003B37F4" w:rsidRDefault="00027617" w:rsidP="00027617">
            <w:pPr>
              <w:rPr>
                <w:rFonts w:cs="Arial"/>
                <w:szCs w:val="20"/>
              </w:rPr>
            </w:pPr>
            <w:r w:rsidRPr="003B37F4">
              <w:rPr>
                <w:rFonts w:cs="Arial"/>
                <w:szCs w:val="20"/>
              </w:rPr>
              <w:t>Administration</w:t>
            </w:r>
          </w:p>
        </w:tc>
        <w:tc>
          <w:tcPr>
            <w:tcW w:w="1661" w:type="dxa"/>
            <w:tcBorders>
              <w:top w:val="nil"/>
              <w:left w:val="nil"/>
              <w:bottom w:val="nil"/>
              <w:right w:val="nil"/>
            </w:tcBorders>
            <w:shd w:val="clear" w:color="auto" w:fill="auto"/>
            <w:noWrap/>
            <w:vAlign w:val="bottom"/>
            <w:hideMark/>
          </w:tcPr>
          <w:p w14:paraId="568B1615" w14:textId="12EDA282" w:rsidR="00027617" w:rsidRPr="003B37F4" w:rsidRDefault="00027617" w:rsidP="00027617">
            <w:pPr>
              <w:jc w:val="right"/>
              <w:rPr>
                <w:rFonts w:cs="Arial"/>
                <w:szCs w:val="20"/>
              </w:rPr>
            </w:pPr>
            <w:r w:rsidRPr="003B37F4">
              <w:rPr>
                <w:rFonts w:cs="Arial"/>
                <w:szCs w:val="20"/>
              </w:rPr>
              <w:t xml:space="preserve">581,789 </w:t>
            </w:r>
          </w:p>
        </w:tc>
        <w:tc>
          <w:tcPr>
            <w:tcW w:w="222" w:type="dxa"/>
            <w:tcBorders>
              <w:top w:val="nil"/>
              <w:left w:val="nil"/>
              <w:bottom w:val="nil"/>
              <w:right w:val="nil"/>
            </w:tcBorders>
            <w:shd w:val="clear" w:color="auto" w:fill="auto"/>
            <w:noWrap/>
            <w:vAlign w:val="bottom"/>
            <w:hideMark/>
          </w:tcPr>
          <w:p w14:paraId="30DB0590" w14:textId="77777777" w:rsidR="00027617" w:rsidRPr="003B37F4" w:rsidRDefault="00027617" w:rsidP="00027617">
            <w:pPr>
              <w:rPr>
                <w:rFonts w:cs="Arial"/>
                <w:b/>
                <w:bCs/>
                <w:i/>
                <w:iCs/>
                <w:szCs w:val="20"/>
              </w:rPr>
            </w:pPr>
          </w:p>
        </w:tc>
        <w:tc>
          <w:tcPr>
            <w:tcW w:w="222" w:type="dxa"/>
            <w:tcBorders>
              <w:top w:val="nil"/>
              <w:left w:val="nil"/>
              <w:bottom w:val="nil"/>
              <w:right w:val="nil"/>
            </w:tcBorders>
            <w:shd w:val="clear" w:color="auto" w:fill="auto"/>
            <w:noWrap/>
            <w:vAlign w:val="bottom"/>
            <w:hideMark/>
          </w:tcPr>
          <w:p w14:paraId="5D71284C" w14:textId="77777777" w:rsidR="00027617" w:rsidRPr="003B37F4" w:rsidRDefault="00027617" w:rsidP="00027617">
            <w:pPr>
              <w:rPr>
                <w:rFonts w:cs="Arial"/>
                <w:b/>
                <w:bCs/>
                <w:i/>
                <w:iCs/>
                <w:szCs w:val="20"/>
              </w:rPr>
            </w:pPr>
          </w:p>
        </w:tc>
        <w:tc>
          <w:tcPr>
            <w:tcW w:w="1920" w:type="dxa"/>
            <w:tcBorders>
              <w:top w:val="nil"/>
              <w:left w:val="nil"/>
              <w:bottom w:val="nil"/>
              <w:right w:val="nil"/>
            </w:tcBorders>
            <w:shd w:val="clear" w:color="auto" w:fill="auto"/>
            <w:noWrap/>
            <w:vAlign w:val="bottom"/>
            <w:hideMark/>
          </w:tcPr>
          <w:p w14:paraId="5923D448" w14:textId="27DCFB71" w:rsidR="00027617" w:rsidRPr="003B37F4" w:rsidRDefault="00027617" w:rsidP="00027617">
            <w:pPr>
              <w:jc w:val="right"/>
              <w:rPr>
                <w:rFonts w:cs="Arial"/>
                <w:szCs w:val="20"/>
              </w:rPr>
            </w:pPr>
            <w:r w:rsidRPr="003B37F4">
              <w:rPr>
                <w:rFonts w:cs="Arial"/>
                <w:szCs w:val="20"/>
              </w:rPr>
              <w:t>(581,789)</w:t>
            </w:r>
          </w:p>
        </w:tc>
      </w:tr>
      <w:tr w:rsidR="00027617" w:rsidRPr="003B37F4" w14:paraId="666D9B9D" w14:textId="77777777" w:rsidTr="00B37CE0">
        <w:trPr>
          <w:trHeight w:val="300"/>
        </w:trPr>
        <w:tc>
          <w:tcPr>
            <w:tcW w:w="3323" w:type="dxa"/>
            <w:tcBorders>
              <w:top w:val="nil"/>
              <w:left w:val="nil"/>
              <w:bottom w:val="nil"/>
              <w:right w:val="nil"/>
            </w:tcBorders>
            <w:shd w:val="clear" w:color="auto" w:fill="auto"/>
            <w:noWrap/>
            <w:vAlign w:val="bottom"/>
            <w:hideMark/>
          </w:tcPr>
          <w:p w14:paraId="15F36185" w14:textId="77777777" w:rsidR="00027617" w:rsidRPr="003B37F4" w:rsidRDefault="00027617" w:rsidP="00027617">
            <w:pPr>
              <w:rPr>
                <w:rFonts w:cs="Arial"/>
                <w:szCs w:val="20"/>
              </w:rPr>
            </w:pPr>
            <w:r w:rsidRPr="003B37F4">
              <w:rPr>
                <w:rFonts w:cs="Arial"/>
                <w:szCs w:val="20"/>
              </w:rPr>
              <w:t>Travel/Training</w:t>
            </w:r>
          </w:p>
        </w:tc>
        <w:tc>
          <w:tcPr>
            <w:tcW w:w="1661" w:type="dxa"/>
            <w:tcBorders>
              <w:top w:val="nil"/>
              <w:left w:val="nil"/>
              <w:bottom w:val="nil"/>
              <w:right w:val="nil"/>
            </w:tcBorders>
            <w:shd w:val="clear" w:color="auto" w:fill="auto"/>
            <w:noWrap/>
            <w:vAlign w:val="bottom"/>
            <w:hideMark/>
          </w:tcPr>
          <w:p w14:paraId="34F0F6FF" w14:textId="33ADA19F" w:rsidR="00027617" w:rsidRPr="003B37F4" w:rsidRDefault="00027617" w:rsidP="00027617">
            <w:pPr>
              <w:jc w:val="right"/>
              <w:rPr>
                <w:rFonts w:cs="Arial"/>
                <w:szCs w:val="20"/>
              </w:rPr>
            </w:pPr>
            <w:r w:rsidRPr="003B37F4">
              <w:rPr>
                <w:rFonts w:cs="Arial"/>
                <w:szCs w:val="20"/>
              </w:rPr>
              <w:t xml:space="preserve">11,945 </w:t>
            </w:r>
          </w:p>
        </w:tc>
        <w:tc>
          <w:tcPr>
            <w:tcW w:w="222" w:type="dxa"/>
            <w:tcBorders>
              <w:top w:val="nil"/>
              <w:left w:val="nil"/>
              <w:bottom w:val="nil"/>
              <w:right w:val="nil"/>
            </w:tcBorders>
            <w:shd w:val="clear" w:color="auto" w:fill="auto"/>
            <w:noWrap/>
            <w:vAlign w:val="bottom"/>
            <w:hideMark/>
          </w:tcPr>
          <w:p w14:paraId="1B4059A6" w14:textId="77777777" w:rsidR="00027617" w:rsidRPr="003B37F4" w:rsidRDefault="00027617" w:rsidP="00027617">
            <w:pPr>
              <w:rPr>
                <w:rFonts w:cs="Arial"/>
                <w:b/>
                <w:bCs/>
                <w:i/>
                <w:iCs/>
                <w:szCs w:val="20"/>
              </w:rPr>
            </w:pPr>
          </w:p>
        </w:tc>
        <w:tc>
          <w:tcPr>
            <w:tcW w:w="222" w:type="dxa"/>
            <w:tcBorders>
              <w:top w:val="nil"/>
              <w:left w:val="nil"/>
              <w:bottom w:val="nil"/>
              <w:right w:val="nil"/>
            </w:tcBorders>
            <w:shd w:val="clear" w:color="auto" w:fill="auto"/>
            <w:noWrap/>
            <w:vAlign w:val="bottom"/>
            <w:hideMark/>
          </w:tcPr>
          <w:p w14:paraId="0EBBF3F3" w14:textId="77777777" w:rsidR="00027617" w:rsidRPr="003B37F4" w:rsidRDefault="00027617" w:rsidP="00027617">
            <w:pPr>
              <w:rPr>
                <w:rFonts w:cs="Arial"/>
                <w:b/>
                <w:bCs/>
                <w:i/>
                <w:iCs/>
                <w:szCs w:val="20"/>
              </w:rPr>
            </w:pPr>
          </w:p>
        </w:tc>
        <w:tc>
          <w:tcPr>
            <w:tcW w:w="1920" w:type="dxa"/>
            <w:tcBorders>
              <w:top w:val="nil"/>
              <w:left w:val="nil"/>
              <w:bottom w:val="nil"/>
              <w:right w:val="nil"/>
            </w:tcBorders>
            <w:shd w:val="clear" w:color="auto" w:fill="auto"/>
            <w:noWrap/>
            <w:vAlign w:val="bottom"/>
            <w:hideMark/>
          </w:tcPr>
          <w:p w14:paraId="5B8A5F0F" w14:textId="17193C29" w:rsidR="00027617" w:rsidRPr="003B37F4" w:rsidRDefault="00027617" w:rsidP="00027617">
            <w:pPr>
              <w:jc w:val="right"/>
              <w:rPr>
                <w:rFonts w:cs="Arial"/>
                <w:szCs w:val="20"/>
              </w:rPr>
            </w:pPr>
            <w:r w:rsidRPr="003B37F4">
              <w:rPr>
                <w:rFonts w:cs="Arial"/>
                <w:szCs w:val="20"/>
              </w:rPr>
              <w:t>(11,945)</w:t>
            </w:r>
          </w:p>
        </w:tc>
      </w:tr>
      <w:tr w:rsidR="00027617" w:rsidRPr="003B37F4" w14:paraId="123AAA16" w14:textId="77777777" w:rsidTr="00B37CE0">
        <w:trPr>
          <w:trHeight w:val="300"/>
        </w:trPr>
        <w:tc>
          <w:tcPr>
            <w:tcW w:w="3323" w:type="dxa"/>
            <w:tcBorders>
              <w:top w:val="nil"/>
              <w:left w:val="nil"/>
              <w:bottom w:val="nil"/>
              <w:right w:val="nil"/>
            </w:tcBorders>
            <w:shd w:val="clear" w:color="auto" w:fill="auto"/>
            <w:noWrap/>
            <w:vAlign w:val="bottom"/>
            <w:hideMark/>
          </w:tcPr>
          <w:p w14:paraId="15F7B5B9" w14:textId="77777777" w:rsidR="00027617" w:rsidRPr="003B37F4" w:rsidRDefault="00027617" w:rsidP="00027617">
            <w:pPr>
              <w:rPr>
                <w:rFonts w:cs="Arial"/>
                <w:szCs w:val="20"/>
              </w:rPr>
            </w:pPr>
            <w:r w:rsidRPr="003B37F4">
              <w:rPr>
                <w:rFonts w:cs="Arial"/>
                <w:szCs w:val="20"/>
              </w:rPr>
              <w:t>County Auditor/Treasurer Fee</w:t>
            </w:r>
          </w:p>
        </w:tc>
        <w:tc>
          <w:tcPr>
            <w:tcW w:w="1661" w:type="dxa"/>
            <w:tcBorders>
              <w:top w:val="nil"/>
              <w:left w:val="nil"/>
              <w:bottom w:val="nil"/>
              <w:right w:val="nil"/>
            </w:tcBorders>
            <w:shd w:val="clear" w:color="auto" w:fill="auto"/>
            <w:noWrap/>
            <w:vAlign w:val="bottom"/>
            <w:hideMark/>
          </w:tcPr>
          <w:p w14:paraId="5B032BF5" w14:textId="059667BD" w:rsidR="00027617" w:rsidRPr="003B37F4" w:rsidRDefault="00027617" w:rsidP="00027617">
            <w:pPr>
              <w:jc w:val="right"/>
              <w:rPr>
                <w:rFonts w:cs="Arial"/>
                <w:szCs w:val="20"/>
              </w:rPr>
            </w:pPr>
            <w:r w:rsidRPr="003B37F4">
              <w:rPr>
                <w:rFonts w:cs="Arial"/>
                <w:szCs w:val="20"/>
              </w:rPr>
              <w:t xml:space="preserve">10,419 </w:t>
            </w:r>
          </w:p>
        </w:tc>
        <w:tc>
          <w:tcPr>
            <w:tcW w:w="222" w:type="dxa"/>
            <w:tcBorders>
              <w:top w:val="nil"/>
              <w:left w:val="nil"/>
              <w:bottom w:val="nil"/>
              <w:right w:val="nil"/>
            </w:tcBorders>
            <w:shd w:val="clear" w:color="auto" w:fill="auto"/>
            <w:noWrap/>
            <w:vAlign w:val="bottom"/>
            <w:hideMark/>
          </w:tcPr>
          <w:p w14:paraId="23BA4739" w14:textId="77777777" w:rsidR="00027617" w:rsidRPr="003B37F4" w:rsidRDefault="00027617" w:rsidP="00027617">
            <w:pPr>
              <w:rPr>
                <w:rFonts w:cs="Arial"/>
                <w:b/>
                <w:bCs/>
                <w:i/>
                <w:iCs/>
                <w:szCs w:val="20"/>
              </w:rPr>
            </w:pPr>
          </w:p>
        </w:tc>
        <w:tc>
          <w:tcPr>
            <w:tcW w:w="222" w:type="dxa"/>
            <w:tcBorders>
              <w:top w:val="nil"/>
              <w:left w:val="nil"/>
              <w:bottom w:val="nil"/>
              <w:right w:val="nil"/>
            </w:tcBorders>
            <w:shd w:val="clear" w:color="auto" w:fill="auto"/>
            <w:noWrap/>
            <w:vAlign w:val="bottom"/>
            <w:hideMark/>
          </w:tcPr>
          <w:p w14:paraId="3C4B1ACB" w14:textId="77777777" w:rsidR="00027617" w:rsidRPr="003B37F4" w:rsidRDefault="00027617" w:rsidP="00027617">
            <w:pPr>
              <w:rPr>
                <w:rFonts w:cs="Arial"/>
                <w:b/>
                <w:bCs/>
                <w:i/>
                <w:iCs/>
                <w:szCs w:val="20"/>
              </w:rPr>
            </w:pPr>
          </w:p>
        </w:tc>
        <w:tc>
          <w:tcPr>
            <w:tcW w:w="1920" w:type="dxa"/>
            <w:tcBorders>
              <w:top w:val="nil"/>
              <w:left w:val="nil"/>
              <w:bottom w:val="nil"/>
              <w:right w:val="nil"/>
            </w:tcBorders>
            <w:shd w:val="clear" w:color="auto" w:fill="auto"/>
            <w:noWrap/>
            <w:vAlign w:val="bottom"/>
            <w:hideMark/>
          </w:tcPr>
          <w:p w14:paraId="284FA35B" w14:textId="444AEBC1" w:rsidR="00027617" w:rsidRPr="003B37F4" w:rsidRDefault="00027617" w:rsidP="00027617">
            <w:pPr>
              <w:jc w:val="right"/>
              <w:rPr>
                <w:rFonts w:cs="Arial"/>
                <w:szCs w:val="20"/>
              </w:rPr>
            </w:pPr>
            <w:r w:rsidRPr="003B37F4">
              <w:rPr>
                <w:rFonts w:cs="Arial"/>
                <w:szCs w:val="20"/>
              </w:rPr>
              <w:t>(10,419)</w:t>
            </w:r>
          </w:p>
        </w:tc>
      </w:tr>
      <w:tr w:rsidR="00027617" w:rsidRPr="003B37F4" w14:paraId="6F37859E" w14:textId="77777777" w:rsidTr="00B37CE0">
        <w:trPr>
          <w:trHeight w:val="300"/>
        </w:trPr>
        <w:tc>
          <w:tcPr>
            <w:tcW w:w="3323" w:type="dxa"/>
            <w:tcBorders>
              <w:top w:val="nil"/>
              <w:left w:val="nil"/>
              <w:bottom w:val="nil"/>
              <w:right w:val="nil"/>
            </w:tcBorders>
            <w:shd w:val="clear" w:color="auto" w:fill="auto"/>
            <w:noWrap/>
            <w:vAlign w:val="bottom"/>
            <w:hideMark/>
          </w:tcPr>
          <w:p w14:paraId="6F9BC12A" w14:textId="77777777" w:rsidR="00027617" w:rsidRPr="003B37F4" w:rsidRDefault="00027617" w:rsidP="00027617">
            <w:pPr>
              <w:rPr>
                <w:rFonts w:cs="Arial"/>
                <w:szCs w:val="20"/>
              </w:rPr>
            </w:pPr>
            <w:r w:rsidRPr="003B37F4">
              <w:rPr>
                <w:rFonts w:cs="Arial"/>
                <w:szCs w:val="20"/>
              </w:rPr>
              <w:t>Rent/Maintenance/Phones</w:t>
            </w:r>
          </w:p>
        </w:tc>
        <w:tc>
          <w:tcPr>
            <w:tcW w:w="1661" w:type="dxa"/>
            <w:tcBorders>
              <w:top w:val="nil"/>
              <w:left w:val="nil"/>
              <w:bottom w:val="nil"/>
              <w:right w:val="nil"/>
            </w:tcBorders>
            <w:shd w:val="clear" w:color="auto" w:fill="auto"/>
            <w:noWrap/>
            <w:vAlign w:val="bottom"/>
            <w:hideMark/>
          </w:tcPr>
          <w:p w14:paraId="454E6AC8" w14:textId="6DFF4D59" w:rsidR="00027617" w:rsidRPr="003B37F4" w:rsidRDefault="00027617" w:rsidP="00027617">
            <w:pPr>
              <w:jc w:val="right"/>
              <w:rPr>
                <w:rFonts w:cs="Arial"/>
                <w:szCs w:val="20"/>
              </w:rPr>
            </w:pPr>
            <w:r w:rsidRPr="003B37F4">
              <w:rPr>
                <w:rFonts w:cs="Arial"/>
                <w:szCs w:val="20"/>
              </w:rPr>
              <w:t xml:space="preserve">40,416 </w:t>
            </w:r>
          </w:p>
        </w:tc>
        <w:tc>
          <w:tcPr>
            <w:tcW w:w="222" w:type="dxa"/>
            <w:tcBorders>
              <w:top w:val="nil"/>
              <w:left w:val="nil"/>
              <w:bottom w:val="nil"/>
              <w:right w:val="nil"/>
            </w:tcBorders>
            <w:shd w:val="clear" w:color="auto" w:fill="auto"/>
            <w:noWrap/>
            <w:vAlign w:val="bottom"/>
            <w:hideMark/>
          </w:tcPr>
          <w:p w14:paraId="6C6364AD" w14:textId="77777777" w:rsidR="00027617" w:rsidRPr="003B37F4" w:rsidRDefault="00027617" w:rsidP="00027617">
            <w:pPr>
              <w:rPr>
                <w:rFonts w:cs="Arial"/>
                <w:b/>
                <w:bCs/>
                <w:i/>
                <w:iCs/>
                <w:szCs w:val="20"/>
              </w:rPr>
            </w:pPr>
          </w:p>
        </w:tc>
        <w:tc>
          <w:tcPr>
            <w:tcW w:w="222" w:type="dxa"/>
            <w:tcBorders>
              <w:top w:val="nil"/>
              <w:left w:val="nil"/>
              <w:bottom w:val="nil"/>
              <w:right w:val="nil"/>
            </w:tcBorders>
            <w:shd w:val="clear" w:color="auto" w:fill="auto"/>
            <w:noWrap/>
            <w:vAlign w:val="bottom"/>
            <w:hideMark/>
          </w:tcPr>
          <w:p w14:paraId="3C1A41E0" w14:textId="77777777" w:rsidR="00027617" w:rsidRPr="003B37F4" w:rsidRDefault="00027617" w:rsidP="00027617">
            <w:pPr>
              <w:rPr>
                <w:rFonts w:cs="Arial"/>
                <w:b/>
                <w:bCs/>
                <w:i/>
                <w:iCs/>
                <w:szCs w:val="20"/>
              </w:rPr>
            </w:pPr>
          </w:p>
        </w:tc>
        <w:tc>
          <w:tcPr>
            <w:tcW w:w="1920" w:type="dxa"/>
            <w:tcBorders>
              <w:top w:val="nil"/>
              <w:left w:val="nil"/>
              <w:bottom w:val="nil"/>
              <w:right w:val="nil"/>
            </w:tcBorders>
            <w:shd w:val="clear" w:color="auto" w:fill="auto"/>
            <w:noWrap/>
            <w:vAlign w:val="bottom"/>
            <w:hideMark/>
          </w:tcPr>
          <w:p w14:paraId="565E001F" w14:textId="6F917A73" w:rsidR="00027617" w:rsidRPr="003B37F4" w:rsidRDefault="00027617" w:rsidP="00027617">
            <w:pPr>
              <w:jc w:val="right"/>
              <w:rPr>
                <w:rFonts w:cs="Arial"/>
                <w:szCs w:val="20"/>
              </w:rPr>
            </w:pPr>
            <w:r w:rsidRPr="003B37F4">
              <w:rPr>
                <w:rFonts w:cs="Arial"/>
                <w:szCs w:val="20"/>
              </w:rPr>
              <w:t>(40,416)</w:t>
            </w:r>
          </w:p>
        </w:tc>
      </w:tr>
      <w:tr w:rsidR="00027617" w:rsidRPr="003B37F4" w14:paraId="3AB69676" w14:textId="77777777" w:rsidTr="00B37CE0">
        <w:trPr>
          <w:trHeight w:val="300"/>
        </w:trPr>
        <w:tc>
          <w:tcPr>
            <w:tcW w:w="3323" w:type="dxa"/>
            <w:tcBorders>
              <w:top w:val="nil"/>
              <w:left w:val="nil"/>
              <w:bottom w:val="nil"/>
              <w:right w:val="nil"/>
            </w:tcBorders>
            <w:shd w:val="clear" w:color="auto" w:fill="auto"/>
            <w:noWrap/>
            <w:vAlign w:val="bottom"/>
            <w:hideMark/>
          </w:tcPr>
          <w:p w14:paraId="400DEEDE" w14:textId="77777777" w:rsidR="00027617" w:rsidRPr="003B37F4" w:rsidRDefault="00027617" w:rsidP="00027617">
            <w:pPr>
              <w:rPr>
                <w:rFonts w:cs="Arial"/>
                <w:szCs w:val="20"/>
              </w:rPr>
            </w:pPr>
            <w:r w:rsidRPr="003B37F4">
              <w:rPr>
                <w:rFonts w:cs="Arial"/>
                <w:szCs w:val="20"/>
              </w:rPr>
              <w:t>Other Health</w:t>
            </w:r>
          </w:p>
        </w:tc>
        <w:tc>
          <w:tcPr>
            <w:tcW w:w="1661" w:type="dxa"/>
            <w:tcBorders>
              <w:top w:val="nil"/>
              <w:left w:val="nil"/>
              <w:bottom w:val="nil"/>
              <w:right w:val="nil"/>
            </w:tcBorders>
            <w:shd w:val="clear" w:color="auto" w:fill="auto"/>
            <w:noWrap/>
            <w:vAlign w:val="bottom"/>
            <w:hideMark/>
          </w:tcPr>
          <w:p w14:paraId="719186D9" w14:textId="1D521D92" w:rsidR="00027617" w:rsidRPr="003B37F4" w:rsidRDefault="00027617" w:rsidP="00027617">
            <w:pPr>
              <w:jc w:val="right"/>
              <w:rPr>
                <w:rFonts w:cs="Arial"/>
                <w:szCs w:val="20"/>
              </w:rPr>
            </w:pPr>
            <w:r w:rsidRPr="003B37F4">
              <w:rPr>
                <w:rFonts w:cs="Arial"/>
                <w:szCs w:val="20"/>
              </w:rPr>
              <w:t xml:space="preserve">18,771 </w:t>
            </w:r>
          </w:p>
        </w:tc>
        <w:tc>
          <w:tcPr>
            <w:tcW w:w="222" w:type="dxa"/>
            <w:tcBorders>
              <w:top w:val="nil"/>
              <w:left w:val="nil"/>
              <w:bottom w:val="nil"/>
              <w:right w:val="nil"/>
            </w:tcBorders>
            <w:shd w:val="clear" w:color="auto" w:fill="auto"/>
            <w:noWrap/>
            <w:vAlign w:val="bottom"/>
            <w:hideMark/>
          </w:tcPr>
          <w:p w14:paraId="76EF289E" w14:textId="77777777" w:rsidR="00027617" w:rsidRPr="003B37F4" w:rsidRDefault="00027617" w:rsidP="00027617">
            <w:pPr>
              <w:rPr>
                <w:rFonts w:cs="Arial"/>
                <w:b/>
                <w:bCs/>
                <w:i/>
                <w:iCs/>
                <w:szCs w:val="20"/>
              </w:rPr>
            </w:pPr>
          </w:p>
        </w:tc>
        <w:tc>
          <w:tcPr>
            <w:tcW w:w="222" w:type="dxa"/>
            <w:tcBorders>
              <w:top w:val="nil"/>
              <w:left w:val="nil"/>
              <w:bottom w:val="nil"/>
              <w:right w:val="nil"/>
            </w:tcBorders>
            <w:shd w:val="clear" w:color="auto" w:fill="auto"/>
            <w:noWrap/>
            <w:vAlign w:val="bottom"/>
            <w:hideMark/>
          </w:tcPr>
          <w:p w14:paraId="4FF623EB" w14:textId="77777777" w:rsidR="00027617" w:rsidRPr="003B37F4" w:rsidRDefault="00027617" w:rsidP="00027617">
            <w:pPr>
              <w:rPr>
                <w:rFonts w:cs="Arial"/>
                <w:b/>
                <w:bCs/>
                <w:i/>
                <w:iCs/>
                <w:szCs w:val="20"/>
              </w:rPr>
            </w:pPr>
          </w:p>
        </w:tc>
        <w:tc>
          <w:tcPr>
            <w:tcW w:w="1920" w:type="dxa"/>
            <w:tcBorders>
              <w:top w:val="nil"/>
              <w:left w:val="nil"/>
              <w:bottom w:val="nil"/>
              <w:right w:val="nil"/>
            </w:tcBorders>
            <w:shd w:val="clear" w:color="auto" w:fill="auto"/>
            <w:noWrap/>
            <w:vAlign w:val="bottom"/>
            <w:hideMark/>
          </w:tcPr>
          <w:p w14:paraId="30CCC537" w14:textId="74ED8DF3" w:rsidR="00027617" w:rsidRPr="003B37F4" w:rsidRDefault="00027617" w:rsidP="00027617">
            <w:pPr>
              <w:jc w:val="right"/>
              <w:rPr>
                <w:rFonts w:cs="Arial"/>
                <w:szCs w:val="20"/>
              </w:rPr>
            </w:pPr>
            <w:r w:rsidRPr="003B37F4">
              <w:rPr>
                <w:rFonts w:cs="Arial"/>
                <w:szCs w:val="20"/>
              </w:rPr>
              <w:t xml:space="preserve">268,656 </w:t>
            </w:r>
          </w:p>
        </w:tc>
      </w:tr>
      <w:tr w:rsidR="00027617" w:rsidRPr="003B37F4" w14:paraId="13123EEA" w14:textId="77777777" w:rsidTr="00D036D4">
        <w:trPr>
          <w:trHeight w:val="300"/>
        </w:trPr>
        <w:tc>
          <w:tcPr>
            <w:tcW w:w="3323" w:type="dxa"/>
            <w:tcBorders>
              <w:top w:val="nil"/>
              <w:left w:val="nil"/>
              <w:bottom w:val="nil"/>
              <w:right w:val="nil"/>
            </w:tcBorders>
            <w:shd w:val="clear" w:color="auto" w:fill="auto"/>
            <w:noWrap/>
            <w:vAlign w:val="bottom"/>
            <w:hideMark/>
          </w:tcPr>
          <w:p w14:paraId="09B711A6" w14:textId="77777777" w:rsidR="00027617" w:rsidRPr="003B37F4" w:rsidRDefault="00027617" w:rsidP="00027617">
            <w:pPr>
              <w:rPr>
                <w:rFonts w:cs="Arial"/>
                <w:szCs w:val="20"/>
              </w:rPr>
            </w:pPr>
            <w:r w:rsidRPr="003B37F4">
              <w:rPr>
                <w:rFonts w:cs="Arial"/>
                <w:i/>
                <w:iCs/>
                <w:szCs w:val="20"/>
              </w:rPr>
              <w:t>Total Governmental Activities</w:t>
            </w:r>
          </w:p>
        </w:tc>
        <w:tc>
          <w:tcPr>
            <w:tcW w:w="1661" w:type="dxa"/>
            <w:tcBorders>
              <w:top w:val="nil"/>
              <w:left w:val="nil"/>
              <w:bottom w:val="double" w:sz="6" w:space="0" w:color="auto"/>
              <w:right w:val="nil"/>
            </w:tcBorders>
            <w:shd w:val="clear" w:color="auto" w:fill="auto"/>
            <w:noWrap/>
            <w:vAlign w:val="bottom"/>
            <w:hideMark/>
          </w:tcPr>
          <w:p w14:paraId="4F2CCC8B" w14:textId="077C3E4C" w:rsidR="00027617" w:rsidRPr="003B37F4" w:rsidRDefault="00027617" w:rsidP="00027617">
            <w:pPr>
              <w:jc w:val="right"/>
              <w:rPr>
                <w:rFonts w:cs="Arial"/>
                <w:szCs w:val="20"/>
              </w:rPr>
            </w:pPr>
            <w:r w:rsidRPr="0008239A">
              <w:rPr>
                <w:rFonts w:cs="Arial"/>
                <w:szCs w:val="20"/>
                <w:highlight w:val="yellow"/>
              </w:rPr>
              <w:t>1,</w:t>
            </w:r>
            <w:r w:rsidR="0008239A" w:rsidRPr="0008239A">
              <w:rPr>
                <w:rFonts w:cs="Arial"/>
                <w:szCs w:val="20"/>
                <w:highlight w:val="yellow"/>
              </w:rPr>
              <w:t>514,744</w:t>
            </w:r>
            <w:r w:rsidRPr="003B37F4">
              <w:rPr>
                <w:rFonts w:cs="Arial"/>
                <w:szCs w:val="20"/>
              </w:rPr>
              <w:t xml:space="preserve"> </w:t>
            </w:r>
          </w:p>
        </w:tc>
        <w:tc>
          <w:tcPr>
            <w:tcW w:w="222" w:type="dxa"/>
            <w:tcBorders>
              <w:top w:val="nil"/>
              <w:left w:val="nil"/>
              <w:bottom w:val="nil"/>
              <w:right w:val="nil"/>
            </w:tcBorders>
            <w:shd w:val="clear" w:color="auto" w:fill="auto"/>
            <w:noWrap/>
            <w:vAlign w:val="bottom"/>
            <w:hideMark/>
          </w:tcPr>
          <w:p w14:paraId="04AFD607" w14:textId="77777777" w:rsidR="00027617" w:rsidRPr="003B37F4" w:rsidRDefault="00027617" w:rsidP="00027617">
            <w:pPr>
              <w:rPr>
                <w:rFonts w:cs="Arial"/>
                <w:b/>
                <w:bCs/>
                <w:i/>
                <w:iCs/>
                <w:szCs w:val="20"/>
              </w:rPr>
            </w:pPr>
          </w:p>
        </w:tc>
        <w:tc>
          <w:tcPr>
            <w:tcW w:w="222" w:type="dxa"/>
            <w:tcBorders>
              <w:top w:val="nil"/>
              <w:left w:val="nil"/>
              <w:bottom w:val="nil"/>
              <w:right w:val="nil"/>
            </w:tcBorders>
            <w:shd w:val="clear" w:color="auto" w:fill="auto"/>
            <w:noWrap/>
            <w:vAlign w:val="bottom"/>
            <w:hideMark/>
          </w:tcPr>
          <w:p w14:paraId="68B282BD" w14:textId="77777777" w:rsidR="00027617" w:rsidRPr="003B37F4" w:rsidRDefault="00027617" w:rsidP="00027617">
            <w:pPr>
              <w:rPr>
                <w:rFonts w:cs="Arial"/>
                <w:b/>
                <w:bCs/>
                <w:i/>
                <w:iCs/>
                <w:szCs w:val="20"/>
              </w:rPr>
            </w:pPr>
          </w:p>
        </w:tc>
        <w:tc>
          <w:tcPr>
            <w:tcW w:w="1920" w:type="dxa"/>
            <w:tcBorders>
              <w:top w:val="nil"/>
              <w:left w:val="nil"/>
              <w:bottom w:val="double" w:sz="6" w:space="0" w:color="auto"/>
              <w:right w:val="nil"/>
            </w:tcBorders>
            <w:shd w:val="clear" w:color="auto" w:fill="auto"/>
            <w:noWrap/>
            <w:vAlign w:val="bottom"/>
            <w:hideMark/>
          </w:tcPr>
          <w:p w14:paraId="234E6F58" w14:textId="32FE67C8" w:rsidR="00027617" w:rsidRPr="003B37F4" w:rsidRDefault="00027617" w:rsidP="00027617">
            <w:pPr>
              <w:jc w:val="right"/>
              <w:rPr>
                <w:rFonts w:cs="Arial"/>
                <w:szCs w:val="20"/>
              </w:rPr>
            </w:pPr>
            <w:r w:rsidRPr="003B37F4">
              <w:rPr>
                <w:rFonts w:cs="Arial"/>
                <w:szCs w:val="20"/>
              </w:rPr>
              <w:t>(439,473)</w:t>
            </w:r>
          </w:p>
        </w:tc>
      </w:tr>
      <w:tr w:rsidR="00D00107" w:rsidRPr="003B37F4" w14:paraId="4A39CAD5" w14:textId="77777777" w:rsidTr="00A01811">
        <w:trPr>
          <w:trHeight w:val="300"/>
        </w:trPr>
        <w:tc>
          <w:tcPr>
            <w:tcW w:w="3323" w:type="dxa"/>
            <w:tcBorders>
              <w:top w:val="nil"/>
              <w:left w:val="nil"/>
              <w:bottom w:val="nil"/>
              <w:right w:val="nil"/>
            </w:tcBorders>
            <w:shd w:val="clear" w:color="auto" w:fill="auto"/>
            <w:noWrap/>
            <w:vAlign w:val="bottom"/>
            <w:hideMark/>
          </w:tcPr>
          <w:p w14:paraId="3E045679" w14:textId="77777777" w:rsidR="00D00107" w:rsidRPr="003B37F4" w:rsidRDefault="00D00107" w:rsidP="00D00107">
            <w:pPr>
              <w:rPr>
                <w:rFonts w:cs="Arial"/>
                <w:szCs w:val="20"/>
              </w:rPr>
            </w:pPr>
          </w:p>
        </w:tc>
        <w:tc>
          <w:tcPr>
            <w:tcW w:w="1661" w:type="dxa"/>
            <w:tcBorders>
              <w:top w:val="nil"/>
              <w:left w:val="nil"/>
              <w:bottom w:val="nil"/>
              <w:right w:val="nil"/>
            </w:tcBorders>
            <w:shd w:val="clear" w:color="auto" w:fill="auto"/>
            <w:noWrap/>
            <w:vAlign w:val="bottom"/>
            <w:hideMark/>
          </w:tcPr>
          <w:p w14:paraId="47763407" w14:textId="24BC669C" w:rsidR="00D00107" w:rsidRPr="003B37F4" w:rsidRDefault="00D00107" w:rsidP="00D00107">
            <w:pPr>
              <w:jc w:val="right"/>
              <w:rPr>
                <w:rFonts w:cs="Arial"/>
                <w:szCs w:val="20"/>
              </w:rPr>
            </w:pPr>
          </w:p>
        </w:tc>
        <w:tc>
          <w:tcPr>
            <w:tcW w:w="222" w:type="dxa"/>
            <w:tcBorders>
              <w:top w:val="nil"/>
              <w:left w:val="nil"/>
              <w:bottom w:val="nil"/>
              <w:right w:val="nil"/>
            </w:tcBorders>
            <w:shd w:val="clear" w:color="auto" w:fill="auto"/>
            <w:noWrap/>
            <w:vAlign w:val="bottom"/>
            <w:hideMark/>
          </w:tcPr>
          <w:p w14:paraId="1CB6C2BE" w14:textId="77777777" w:rsidR="00D00107" w:rsidRPr="003B37F4" w:rsidRDefault="00D00107" w:rsidP="00D00107">
            <w:pPr>
              <w:rPr>
                <w:rFonts w:cs="Arial"/>
                <w:b/>
                <w:bCs/>
                <w:i/>
                <w:iCs/>
                <w:szCs w:val="20"/>
              </w:rPr>
            </w:pPr>
          </w:p>
        </w:tc>
        <w:tc>
          <w:tcPr>
            <w:tcW w:w="222" w:type="dxa"/>
            <w:tcBorders>
              <w:top w:val="nil"/>
              <w:left w:val="nil"/>
              <w:bottom w:val="nil"/>
              <w:right w:val="nil"/>
            </w:tcBorders>
            <w:shd w:val="clear" w:color="auto" w:fill="auto"/>
            <w:noWrap/>
            <w:vAlign w:val="bottom"/>
            <w:hideMark/>
          </w:tcPr>
          <w:p w14:paraId="2A59B077" w14:textId="77777777" w:rsidR="00D00107" w:rsidRPr="003B37F4" w:rsidRDefault="00D00107" w:rsidP="00D00107">
            <w:pPr>
              <w:rPr>
                <w:rFonts w:cs="Arial"/>
                <w:b/>
                <w:bCs/>
                <w:i/>
                <w:iCs/>
                <w:szCs w:val="20"/>
              </w:rPr>
            </w:pPr>
          </w:p>
        </w:tc>
        <w:tc>
          <w:tcPr>
            <w:tcW w:w="1920" w:type="dxa"/>
            <w:tcBorders>
              <w:top w:val="nil"/>
              <w:left w:val="nil"/>
              <w:bottom w:val="double" w:sz="6" w:space="0" w:color="auto"/>
              <w:right w:val="nil"/>
            </w:tcBorders>
            <w:shd w:val="clear" w:color="auto" w:fill="auto"/>
            <w:noWrap/>
            <w:vAlign w:val="bottom"/>
            <w:hideMark/>
          </w:tcPr>
          <w:p w14:paraId="4DD39CF9" w14:textId="77777777" w:rsidR="00D00107" w:rsidRPr="003B37F4" w:rsidRDefault="00D00107" w:rsidP="00D00107">
            <w:pPr>
              <w:jc w:val="right"/>
              <w:rPr>
                <w:rFonts w:cs="Arial"/>
                <w:szCs w:val="20"/>
              </w:rPr>
            </w:pPr>
          </w:p>
        </w:tc>
      </w:tr>
      <w:tr w:rsidR="0067049B" w:rsidRPr="003B37F4" w14:paraId="3FABDE09" w14:textId="77777777" w:rsidTr="00B37CE0">
        <w:trPr>
          <w:trHeight w:val="315"/>
        </w:trPr>
        <w:tc>
          <w:tcPr>
            <w:tcW w:w="3323" w:type="dxa"/>
            <w:tcBorders>
              <w:top w:val="nil"/>
              <w:left w:val="nil"/>
              <w:bottom w:val="nil"/>
              <w:right w:val="nil"/>
            </w:tcBorders>
            <w:shd w:val="clear" w:color="auto" w:fill="auto"/>
            <w:noWrap/>
            <w:vAlign w:val="bottom"/>
          </w:tcPr>
          <w:p w14:paraId="26272712" w14:textId="77777777" w:rsidR="0067049B" w:rsidRPr="003B37F4" w:rsidRDefault="0067049B">
            <w:pPr>
              <w:rPr>
                <w:rFonts w:cs="Arial"/>
                <w:i/>
                <w:iCs/>
                <w:szCs w:val="20"/>
              </w:rPr>
            </w:pPr>
          </w:p>
        </w:tc>
        <w:tc>
          <w:tcPr>
            <w:tcW w:w="1661" w:type="dxa"/>
            <w:tcBorders>
              <w:top w:val="nil"/>
              <w:left w:val="nil"/>
              <w:bottom w:val="double" w:sz="6" w:space="0" w:color="auto"/>
              <w:right w:val="nil"/>
            </w:tcBorders>
            <w:shd w:val="clear" w:color="auto" w:fill="auto"/>
            <w:noWrap/>
            <w:vAlign w:val="bottom"/>
          </w:tcPr>
          <w:p w14:paraId="4712A146" w14:textId="77777777" w:rsidR="0067049B" w:rsidRPr="003B37F4" w:rsidRDefault="0067049B">
            <w:pPr>
              <w:jc w:val="right"/>
              <w:rPr>
                <w:rFonts w:cs="Arial"/>
                <w:szCs w:val="20"/>
              </w:rPr>
            </w:pPr>
          </w:p>
        </w:tc>
        <w:tc>
          <w:tcPr>
            <w:tcW w:w="222" w:type="dxa"/>
            <w:tcBorders>
              <w:top w:val="nil"/>
              <w:left w:val="nil"/>
              <w:bottom w:val="nil"/>
              <w:right w:val="nil"/>
            </w:tcBorders>
            <w:shd w:val="clear" w:color="auto" w:fill="auto"/>
            <w:noWrap/>
            <w:vAlign w:val="bottom"/>
          </w:tcPr>
          <w:p w14:paraId="30C1DC10" w14:textId="77777777" w:rsidR="0067049B" w:rsidRPr="003B37F4" w:rsidRDefault="0067049B">
            <w:pPr>
              <w:rPr>
                <w:rFonts w:cs="Arial"/>
                <w:i/>
                <w:iCs/>
                <w:szCs w:val="20"/>
              </w:rPr>
            </w:pPr>
          </w:p>
        </w:tc>
        <w:tc>
          <w:tcPr>
            <w:tcW w:w="222" w:type="dxa"/>
            <w:tcBorders>
              <w:top w:val="nil"/>
              <w:left w:val="nil"/>
              <w:bottom w:val="nil"/>
              <w:right w:val="nil"/>
            </w:tcBorders>
            <w:shd w:val="clear" w:color="auto" w:fill="auto"/>
            <w:noWrap/>
            <w:vAlign w:val="bottom"/>
          </w:tcPr>
          <w:p w14:paraId="18241F4B" w14:textId="77777777" w:rsidR="0067049B" w:rsidRPr="003B37F4" w:rsidRDefault="0067049B">
            <w:pPr>
              <w:rPr>
                <w:rFonts w:cs="Arial"/>
                <w:b/>
                <w:bCs/>
                <w:i/>
                <w:iCs/>
                <w:szCs w:val="20"/>
              </w:rPr>
            </w:pPr>
          </w:p>
        </w:tc>
        <w:tc>
          <w:tcPr>
            <w:tcW w:w="1920" w:type="dxa"/>
            <w:tcBorders>
              <w:top w:val="nil"/>
              <w:left w:val="nil"/>
              <w:bottom w:val="double" w:sz="6" w:space="0" w:color="auto"/>
              <w:right w:val="nil"/>
            </w:tcBorders>
            <w:shd w:val="clear" w:color="auto" w:fill="auto"/>
            <w:noWrap/>
            <w:vAlign w:val="bottom"/>
          </w:tcPr>
          <w:p w14:paraId="3CD12CAE" w14:textId="77777777" w:rsidR="0067049B" w:rsidRPr="003B37F4" w:rsidRDefault="0067049B">
            <w:pPr>
              <w:jc w:val="right"/>
              <w:rPr>
                <w:rFonts w:cs="Arial"/>
                <w:szCs w:val="20"/>
              </w:rPr>
            </w:pPr>
          </w:p>
        </w:tc>
      </w:tr>
    </w:tbl>
    <w:p w14:paraId="3F71DC68" w14:textId="77777777" w:rsidR="00FE37F6" w:rsidRPr="003B37F4" w:rsidRDefault="00FE37F6" w:rsidP="0041766F">
      <w:pPr>
        <w:pStyle w:val="PlainText"/>
        <w:rPr>
          <w:rFonts w:ascii="Arial" w:hAnsi="Arial" w:cs="Arial"/>
          <w:b/>
        </w:rPr>
      </w:pPr>
    </w:p>
    <w:p w14:paraId="0E215328" w14:textId="77777777" w:rsidR="0041766F" w:rsidRPr="003B37F4" w:rsidRDefault="0041766F" w:rsidP="00184E6A">
      <w:pPr>
        <w:pStyle w:val="Heading2"/>
      </w:pPr>
      <w:bookmarkStart w:id="24" w:name="_Toc284945514"/>
      <w:bookmarkStart w:id="25" w:name="_Toc315938406"/>
      <w:r w:rsidRPr="003B37F4">
        <w:t>The Health District’s Funds</w:t>
      </w:r>
      <w:bookmarkEnd w:id="24"/>
      <w:bookmarkEnd w:id="25"/>
    </w:p>
    <w:p w14:paraId="2F7FE30C" w14:textId="77777777" w:rsidR="0041766F" w:rsidRPr="003B37F4" w:rsidRDefault="0041766F" w:rsidP="0041766F">
      <w:pPr>
        <w:pStyle w:val="PlainText"/>
        <w:jc w:val="both"/>
        <w:rPr>
          <w:rFonts w:ascii="Arial" w:hAnsi="Arial" w:cs="Arial"/>
          <w:b/>
        </w:rPr>
      </w:pPr>
    </w:p>
    <w:p w14:paraId="58362211" w14:textId="6D57853E" w:rsidR="0041766F" w:rsidRPr="003B37F4" w:rsidRDefault="0041766F" w:rsidP="0041766F">
      <w:pPr>
        <w:pStyle w:val="PlainText"/>
        <w:jc w:val="both"/>
        <w:rPr>
          <w:rFonts w:ascii="Arial" w:hAnsi="Arial" w:cs="Arial"/>
        </w:rPr>
      </w:pPr>
      <w:r w:rsidRPr="003B37F4">
        <w:rPr>
          <w:rFonts w:ascii="Arial" w:hAnsi="Arial" w:cs="Arial"/>
        </w:rPr>
        <w:t>Total Governmenta</w:t>
      </w:r>
      <w:r w:rsidR="00287747" w:rsidRPr="003B37F4">
        <w:rPr>
          <w:rFonts w:ascii="Arial" w:hAnsi="Arial" w:cs="Arial"/>
        </w:rPr>
        <w:t xml:space="preserve">l funds had receipts of </w:t>
      </w:r>
      <w:r w:rsidR="00662B9D" w:rsidRPr="003B37F4">
        <w:rPr>
          <w:rFonts w:ascii="Arial" w:hAnsi="Arial" w:cs="Arial"/>
        </w:rPr>
        <w:t>$</w:t>
      </w:r>
      <w:r w:rsidR="00C80866" w:rsidRPr="0008239A">
        <w:rPr>
          <w:rFonts w:ascii="Arial" w:hAnsi="Arial" w:cs="Arial"/>
          <w:highlight w:val="yellow"/>
        </w:rPr>
        <w:t>1,</w:t>
      </w:r>
      <w:r w:rsidR="00576977" w:rsidRPr="0008239A">
        <w:rPr>
          <w:rFonts w:ascii="Arial" w:hAnsi="Arial" w:cs="Arial"/>
          <w:highlight w:val="yellow"/>
        </w:rPr>
        <w:t>550,</w:t>
      </w:r>
      <w:r w:rsidR="0008239A" w:rsidRPr="0008239A">
        <w:rPr>
          <w:rFonts w:ascii="Arial" w:hAnsi="Arial" w:cs="Arial"/>
          <w:highlight w:val="yellow"/>
        </w:rPr>
        <w:t>256</w:t>
      </w:r>
      <w:r w:rsidR="00662B9D" w:rsidRPr="003B37F4">
        <w:rPr>
          <w:rFonts w:ascii="Arial" w:hAnsi="Arial" w:cs="Arial"/>
        </w:rPr>
        <w:t xml:space="preserve"> </w:t>
      </w:r>
      <w:r w:rsidRPr="003B37F4">
        <w:rPr>
          <w:rFonts w:ascii="Arial" w:hAnsi="Arial" w:cs="Arial"/>
        </w:rPr>
        <w:t>and disbursements of $</w:t>
      </w:r>
      <w:r w:rsidR="00EB7773" w:rsidRPr="0008239A">
        <w:rPr>
          <w:rFonts w:ascii="Arial" w:hAnsi="Arial" w:cs="Arial"/>
          <w:highlight w:val="yellow"/>
        </w:rPr>
        <w:t>1,</w:t>
      </w:r>
      <w:r w:rsidR="0008239A" w:rsidRPr="0008239A">
        <w:rPr>
          <w:rFonts w:ascii="Arial" w:hAnsi="Arial" w:cs="Arial"/>
          <w:highlight w:val="yellow"/>
        </w:rPr>
        <w:t>514,744</w:t>
      </w:r>
      <w:r w:rsidR="00A7431F" w:rsidRPr="003B37F4">
        <w:rPr>
          <w:rFonts w:ascii="Arial" w:hAnsi="Arial" w:cs="Arial"/>
        </w:rPr>
        <w:t xml:space="preserve">. </w:t>
      </w:r>
      <w:r w:rsidRPr="003B37F4">
        <w:rPr>
          <w:rFonts w:ascii="Arial" w:hAnsi="Arial" w:cs="Arial"/>
        </w:rPr>
        <w:t>In the Environme</w:t>
      </w:r>
      <w:r w:rsidR="00706980" w:rsidRPr="003B37F4">
        <w:rPr>
          <w:rFonts w:ascii="Arial" w:hAnsi="Arial" w:cs="Arial"/>
        </w:rPr>
        <w:t>ntal Health D</w:t>
      </w:r>
      <w:r w:rsidRPr="003B37F4">
        <w:rPr>
          <w:rFonts w:ascii="Arial" w:hAnsi="Arial" w:cs="Arial"/>
        </w:rPr>
        <w:t>ivision</w:t>
      </w:r>
      <w:r w:rsidR="00706980" w:rsidRPr="003B37F4">
        <w:rPr>
          <w:rFonts w:ascii="Arial" w:hAnsi="Arial" w:cs="Arial"/>
        </w:rPr>
        <w:t xml:space="preserve">, </w:t>
      </w:r>
      <w:r w:rsidRPr="003B37F4">
        <w:rPr>
          <w:rFonts w:ascii="Arial" w:hAnsi="Arial" w:cs="Arial"/>
        </w:rPr>
        <w:t xml:space="preserve">most of the services are provided for a fee based on current cost methodologies.  However, even with adjustments to fees during </w:t>
      </w:r>
      <w:r w:rsidR="005A3182" w:rsidRPr="003B37F4">
        <w:rPr>
          <w:rFonts w:ascii="Arial" w:hAnsi="Arial" w:cs="Arial"/>
        </w:rPr>
        <w:t>20</w:t>
      </w:r>
      <w:r w:rsidR="00F52E51" w:rsidRPr="003B37F4">
        <w:rPr>
          <w:rFonts w:ascii="Arial" w:hAnsi="Arial" w:cs="Arial"/>
        </w:rPr>
        <w:t>2</w:t>
      </w:r>
      <w:r w:rsidR="007A6681" w:rsidRPr="003B37F4">
        <w:rPr>
          <w:rFonts w:ascii="Arial" w:hAnsi="Arial" w:cs="Arial"/>
        </w:rPr>
        <w:t>2</w:t>
      </w:r>
      <w:r w:rsidRPr="003B37F4">
        <w:rPr>
          <w:rFonts w:ascii="Arial" w:hAnsi="Arial" w:cs="Arial"/>
        </w:rPr>
        <w:t xml:space="preserve"> the division is not self-funded and requires monies from the general fund.  In the Nursing and Personal Health Services division, most of the services provided are not fee based and are </w:t>
      </w:r>
      <w:r w:rsidR="00872EE8" w:rsidRPr="003B37F4">
        <w:rPr>
          <w:rFonts w:ascii="Arial" w:hAnsi="Arial" w:cs="Arial"/>
        </w:rPr>
        <w:t>primarily</w:t>
      </w:r>
      <w:r w:rsidRPr="003B37F4">
        <w:rPr>
          <w:rFonts w:ascii="Arial" w:hAnsi="Arial" w:cs="Arial"/>
        </w:rPr>
        <w:t xml:space="preserve"> funded via the general fund.  </w:t>
      </w:r>
    </w:p>
    <w:p w14:paraId="2FC5D6CB" w14:textId="77777777" w:rsidR="0041766F" w:rsidRPr="003B37F4" w:rsidRDefault="00D24584" w:rsidP="00A813FD">
      <w:pPr>
        <w:widowControl/>
        <w:autoSpaceDE/>
        <w:autoSpaceDN/>
        <w:adjustRightInd/>
        <w:spacing w:after="200"/>
        <w:rPr>
          <w:rFonts w:asciiTheme="majorHAnsi" w:eastAsiaTheme="majorEastAsia" w:hAnsiTheme="majorHAnsi" w:cstheme="majorBidi"/>
          <w:b/>
          <w:bCs/>
          <w:color w:val="4F81BD" w:themeColor="accent1"/>
          <w:sz w:val="26"/>
          <w:szCs w:val="26"/>
        </w:rPr>
      </w:pPr>
      <w:r w:rsidRPr="003B37F4">
        <w:br w:type="page"/>
      </w:r>
      <w:bookmarkStart w:id="26" w:name="_Toc284945515"/>
      <w:bookmarkStart w:id="27" w:name="_Toc315938407"/>
      <w:r w:rsidR="0041766F" w:rsidRPr="003B37F4">
        <w:rPr>
          <w:rFonts w:asciiTheme="majorHAnsi" w:hAnsiTheme="majorHAnsi"/>
          <w:b/>
          <w:color w:val="4F81BD" w:themeColor="accent1"/>
          <w:sz w:val="26"/>
          <w:szCs w:val="26"/>
        </w:rPr>
        <w:lastRenderedPageBreak/>
        <w:t>General Fund Budgeting Highlights</w:t>
      </w:r>
      <w:bookmarkEnd w:id="26"/>
      <w:bookmarkEnd w:id="27"/>
    </w:p>
    <w:p w14:paraId="53CE03CF" w14:textId="77777777" w:rsidR="0041766F" w:rsidRPr="003B37F4" w:rsidRDefault="0041766F" w:rsidP="0041766F">
      <w:pPr>
        <w:pStyle w:val="PlainText"/>
        <w:jc w:val="both"/>
        <w:rPr>
          <w:rFonts w:ascii="Arial" w:hAnsi="Arial" w:cs="Arial"/>
        </w:rPr>
      </w:pPr>
    </w:p>
    <w:p w14:paraId="217502C7" w14:textId="77777777" w:rsidR="0041766F" w:rsidRPr="003B37F4" w:rsidRDefault="0041766F" w:rsidP="0041766F">
      <w:pPr>
        <w:pStyle w:val="PlainText"/>
        <w:jc w:val="both"/>
        <w:rPr>
          <w:rFonts w:ascii="Arial" w:hAnsi="Arial" w:cs="Arial"/>
        </w:rPr>
      </w:pPr>
      <w:r w:rsidRPr="003B37F4">
        <w:rPr>
          <w:rFonts w:ascii="Arial" w:hAnsi="Arial" w:cs="Arial"/>
        </w:rPr>
        <w:t>The Health District’s budget is prepared according to Ohio law and is based upon accounting for certain transactions on a basis of cash receipts, disbursements, and encumbrances.  The most significant budgeted fund is the General Fund.</w:t>
      </w:r>
    </w:p>
    <w:p w14:paraId="20F85952" w14:textId="77777777" w:rsidR="0041766F" w:rsidRPr="003B37F4" w:rsidRDefault="0041766F" w:rsidP="0041766F">
      <w:pPr>
        <w:pStyle w:val="PlainText"/>
        <w:jc w:val="both"/>
        <w:rPr>
          <w:rFonts w:ascii="Arial" w:hAnsi="Arial" w:cs="Arial"/>
        </w:rPr>
      </w:pPr>
    </w:p>
    <w:p w14:paraId="72876E23" w14:textId="69535D6B" w:rsidR="0041766F" w:rsidRPr="003B37F4" w:rsidRDefault="0041766F" w:rsidP="0041766F">
      <w:pPr>
        <w:pStyle w:val="PlainText"/>
        <w:jc w:val="both"/>
        <w:rPr>
          <w:rFonts w:ascii="Arial" w:hAnsi="Arial" w:cs="Arial"/>
        </w:rPr>
      </w:pPr>
      <w:r w:rsidRPr="003B37F4">
        <w:rPr>
          <w:rFonts w:ascii="Arial" w:hAnsi="Arial" w:cs="Arial"/>
        </w:rPr>
        <w:t xml:space="preserve">During </w:t>
      </w:r>
      <w:r w:rsidR="005A3182" w:rsidRPr="003B37F4">
        <w:rPr>
          <w:rFonts w:ascii="Arial" w:hAnsi="Arial" w:cs="Arial"/>
        </w:rPr>
        <w:t>20</w:t>
      </w:r>
      <w:r w:rsidR="00F52E51" w:rsidRPr="003B37F4">
        <w:rPr>
          <w:rFonts w:ascii="Arial" w:hAnsi="Arial" w:cs="Arial"/>
        </w:rPr>
        <w:t>2</w:t>
      </w:r>
      <w:r w:rsidR="007A6681" w:rsidRPr="003B37F4">
        <w:rPr>
          <w:rFonts w:ascii="Arial" w:hAnsi="Arial" w:cs="Arial"/>
        </w:rPr>
        <w:t>2</w:t>
      </w:r>
      <w:r w:rsidRPr="003B37F4">
        <w:rPr>
          <w:rFonts w:ascii="Arial" w:hAnsi="Arial" w:cs="Arial"/>
        </w:rPr>
        <w:t>, the Health District amended its General and Special Revenue fund budgets to refle</w:t>
      </w:r>
      <w:r w:rsidR="000405E3" w:rsidRPr="003B37F4">
        <w:rPr>
          <w:rFonts w:ascii="Arial" w:hAnsi="Arial" w:cs="Arial"/>
        </w:rPr>
        <w:t xml:space="preserve">ct changing circumstances.  </w:t>
      </w:r>
    </w:p>
    <w:p w14:paraId="50991C44" w14:textId="77777777" w:rsidR="00E971C5" w:rsidRPr="003B37F4" w:rsidRDefault="00E971C5" w:rsidP="0041766F">
      <w:pPr>
        <w:pStyle w:val="PlainText"/>
        <w:jc w:val="both"/>
        <w:rPr>
          <w:rFonts w:ascii="Arial" w:hAnsi="Arial" w:cs="Arial"/>
        </w:rPr>
      </w:pPr>
    </w:p>
    <w:p w14:paraId="1CDE37BE" w14:textId="790014BD" w:rsidR="0041766F" w:rsidRPr="003B37F4" w:rsidRDefault="0041766F" w:rsidP="0041766F">
      <w:pPr>
        <w:pStyle w:val="PlainText"/>
        <w:jc w:val="both"/>
        <w:rPr>
          <w:rFonts w:ascii="Arial" w:hAnsi="Arial" w:cs="Arial"/>
        </w:rPr>
      </w:pPr>
      <w:r w:rsidRPr="003B37F4">
        <w:rPr>
          <w:rFonts w:ascii="Arial" w:hAnsi="Arial" w:cs="Arial"/>
        </w:rPr>
        <w:t xml:space="preserve">Revenues for </w:t>
      </w:r>
      <w:r w:rsidR="001F2154" w:rsidRPr="003B37F4">
        <w:rPr>
          <w:rFonts w:ascii="Arial" w:hAnsi="Arial" w:cs="Arial"/>
        </w:rPr>
        <w:t xml:space="preserve">the </w:t>
      </w:r>
      <w:r w:rsidRPr="003B37F4">
        <w:rPr>
          <w:rFonts w:ascii="Arial" w:hAnsi="Arial" w:cs="Arial"/>
        </w:rPr>
        <w:t>General Fund were originally budgeted at $</w:t>
      </w:r>
      <w:r w:rsidR="00F52E51" w:rsidRPr="003B37F4">
        <w:rPr>
          <w:rFonts w:ascii="Arial" w:hAnsi="Arial" w:cs="Arial"/>
        </w:rPr>
        <w:t>821,</w:t>
      </w:r>
      <w:r w:rsidR="007A6681" w:rsidRPr="003B37F4">
        <w:rPr>
          <w:rFonts w:ascii="Arial" w:hAnsi="Arial" w:cs="Arial"/>
        </w:rPr>
        <w:t>9</w:t>
      </w:r>
      <w:r w:rsidR="00F52E51" w:rsidRPr="003B37F4">
        <w:rPr>
          <w:rFonts w:ascii="Arial" w:hAnsi="Arial" w:cs="Arial"/>
        </w:rPr>
        <w:t>40</w:t>
      </w:r>
      <w:r w:rsidR="00E76D90" w:rsidRPr="003B37F4">
        <w:rPr>
          <w:rFonts w:ascii="Arial" w:hAnsi="Arial" w:cs="Arial"/>
        </w:rPr>
        <w:t xml:space="preserve"> </w:t>
      </w:r>
      <w:r w:rsidRPr="003B37F4">
        <w:rPr>
          <w:rFonts w:ascii="Arial" w:hAnsi="Arial" w:cs="Arial"/>
        </w:rPr>
        <w:t xml:space="preserve">and actual revenue was </w:t>
      </w:r>
      <w:r w:rsidRPr="00D041C2">
        <w:rPr>
          <w:rFonts w:ascii="Arial" w:hAnsi="Arial" w:cs="Arial"/>
          <w:highlight w:val="yellow"/>
        </w:rPr>
        <w:t>$</w:t>
      </w:r>
      <w:r w:rsidR="00F52E51" w:rsidRPr="00D041C2">
        <w:rPr>
          <w:rFonts w:ascii="Arial" w:hAnsi="Arial" w:cs="Arial"/>
          <w:highlight w:val="yellow"/>
        </w:rPr>
        <w:t>1,</w:t>
      </w:r>
      <w:r w:rsidR="007A6681" w:rsidRPr="00D041C2">
        <w:rPr>
          <w:rFonts w:ascii="Arial" w:hAnsi="Arial" w:cs="Arial"/>
          <w:highlight w:val="yellow"/>
        </w:rPr>
        <w:t>124,37</w:t>
      </w:r>
      <w:r w:rsidR="00D041C2" w:rsidRPr="00D041C2">
        <w:rPr>
          <w:rFonts w:ascii="Arial" w:hAnsi="Arial" w:cs="Arial"/>
          <w:highlight w:val="yellow"/>
        </w:rPr>
        <w:t>0</w:t>
      </w:r>
      <w:r w:rsidR="001F5E70" w:rsidRPr="003B37F4">
        <w:rPr>
          <w:rFonts w:ascii="Arial" w:hAnsi="Arial" w:cs="Arial"/>
        </w:rPr>
        <w:t>.</w:t>
      </w:r>
      <w:r w:rsidRPr="003B37F4">
        <w:rPr>
          <w:rFonts w:ascii="Arial" w:hAnsi="Arial" w:cs="Arial"/>
        </w:rPr>
        <w:t xml:space="preserve"> </w:t>
      </w:r>
    </w:p>
    <w:p w14:paraId="140D421A" w14:textId="77777777" w:rsidR="0041766F" w:rsidRPr="003B37F4" w:rsidRDefault="0041766F" w:rsidP="0041766F">
      <w:pPr>
        <w:pStyle w:val="PlainText"/>
        <w:jc w:val="both"/>
        <w:rPr>
          <w:rFonts w:ascii="Arial" w:hAnsi="Arial" w:cs="Arial"/>
        </w:rPr>
      </w:pPr>
    </w:p>
    <w:p w14:paraId="5BAD9D43" w14:textId="11F48B08" w:rsidR="0041766F" w:rsidRPr="003B37F4" w:rsidRDefault="0041766F" w:rsidP="0041766F">
      <w:pPr>
        <w:pStyle w:val="PlainText"/>
        <w:jc w:val="both"/>
        <w:rPr>
          <w:rFonts w:ascii="Arial" w:hAnsi="Arial" w:cs="Arial"/>
        </w:rPr>
      </w:pPr>
      <w:r w:rsidRPr="003B37F4">
        <w:rPr>
          <w:rFonts w:ascii="Arial" w:hAnsi="Arial" w:cs="Arial"/>
        </w:rPr>
        <w:t xml:space="preserve">Disbursements for </w:t>
      </w:r>
      <w:r w:rsidR="001F2154" w:rsidRPr="003B37F4">
        <w:rPr>
          <w:rFonts w:ascii="Arial" w:hAnsi="Arial" w:cs="Arial"/>
        </w:rPr>
        <w:t xml:space="preserve">the </w:t>
      </w:r>
      <w:r w:rsidRPr="003B37F4">
        <w:rPr>
          <w:rFonts w:ascii="Arial" w:hAnsi="Arial" w:cs="Arial"/>
        </w:rPr>
        <w:t>General Fund were originally budgeted at $</w:t>
      </w:r>
      <w:r w:rsidR="007A6681" w:rsidRPr="003B37F4">
        <w:rPr>
          <w:rFonts w:ascii="Arial" w:hAnsi="Arial" w:cs="Arial"/>
        </w:rPr>
        <w:t>944,500</w:t>
      </w:r>
      <w:r w:rsidR="00AB60BF" w:rsidRPr="003B37F4">
        <w:rPr>
          <w:rFonts w:ascii="Arial" w:hAnsi="Arial" w:cs="Arial"/>
        </w:rPr>
        <w:t xml:space="preserve"> </w:t>
      </w:r>
      <w:r w:rsidRPr="003B37F4">
        <w:rPr>
          <w:rFonts w:ascii="Arial" w:hAnsi="Arial" w:cs="Arial"/>
        </w:rPr>
        <w:t xml:space="preserve">and actual disbursements were </w:t>
      </w:r>
      <w:r w:rsidR="009D2189" w:rsidRPr="003B37F4">
        <w:rPr>
          <w:rFonts w:ascii="Arial" w:hAnsi="Arial" w:cs="Arial"/>
        </w:rPr>
        <w:t>$</w:t>
      </w:r>
      <w:r w:rsidR="00F52E51" w:rsidRPr="003B37F4">
        <w:rPr>
          <w:rFonts w:ascii="Arial" w:hAnsi="Arial" w:cs="Arial"/>
        </w:rPr>
        <w:t>1,07</w:t>
      </w:r>
      <w:r w:rsidR="007A6681" w:rsidRPr="003B37F4">
        <w:rPr>
          <w:rFonts w:ascii="Arial" w:hAnsi="Arial" w:cs="Arial"/>
        </w:rPr>
        <w:t>5</w:t>
      </w:r>
      <w:r w:rsidR="00F52E51" w:rsidRPr="003B37F4">
        <w:rPr>
          <w:rFonts w:ascii="Arial" w:hAnsi="Arial" w:cs="Arial"/>
        </w:rPr>
        <w:t>,</w:t>
      </w:r>
      <w:r w:rsidR="007A6681" w:rsidRPr="003B37F4">
        <w:rPr>
          <w:rFonts w:ascii="Arial" w:hAnsi="Arial" w:cs="Arial"/>
        </w:rPr>
        <w:t>590</w:t>
      </w:r>
      <w:r w:rsidR="00E745A4" w:rsidRPr="003B37F4">
        <w:rPr>
          <w:rFonts w:ascii="Arial" w:hAnsi="Arial" w:cs="Arial"/>
        </w:rPr>
        <w:t>.</w:t>
      </w:r>
    </w:p>
    <w:p w14:paraId="2E76E790" w14:textId="77777777" w:rsidR="0041766F" w:rsidRPr="003B37F4" w:rsidRDefault="0041766F" w:rsidP="0041766F">
      <w:pPr>
        <w:pStyle w:val="PlainText"/>
        <w:jc w:val="both"/>
        <w:rPr>
          <w:rFonts w:ascii="Arial" w:hAnsi="Arial" w:cs="Arial"/>
        </w:rPr>
      </w:pPr>
    </w:p>
    <w:p w14:paraId="229E3916" w14:textId="77777777" w:rsidR="00CE4CFA" w:rsidRPr="003B37F4" w:rsidRDefault="00CE4CFA" w:rsidP="0041766F">
      <w:pPr>
        <w:pStyle w:val="PlainText"/>
        <w:jc w:val="both"/>
        <w:rPr>
          <w:rFonts w:ascii="Arial" w:hAnsi="Arial" w:cs="Arial"/>
        </w:rPr>
      </w:pPr>
    </w:p>
    <w:p w14:paraId="2B00B631" w14:textId="77777777" w:rsidR="0041766F" w:rsidRPr="003B37F4" w:rsidRDefault="0041766F" w:rsidP="00184E6A">
      <w:pPr>
        <w:pStyle w:val="Heading2"/>
      </w:pPr>
      <w:bookmarkStart w:id="28" w:name="_Toc284945516"/>
      <w:bookmarkStart w:id="29" w:name="_Toc315938408"/>
      <w:r w:rsidRPr="003B37F4">
        <w:t>Capital Assets</w:t>
      </w:r>
      <w:bookmarkEnd w:id="28"/>
      <w:bookmarkEnd w:id="29"/>
    </w:p>
    <w:p w14:paraId="555A4E4A" w14:textId="77777777" w:rsidR="0041766F" w:rsidRPr="003B37F4" w:rsidRDefault="0041766F" w:rsidP="0041766F">
      <w:pPr>
        <w:pStyle w:val="PlainText"/>
        <w:jc w:val="both"/>
        <w:rPr>
          <w:rFonts w:ascii="Arial" w:hAnsi="Arial" w:cs="Arial"/>
        </w:rPr>
      </w:pPr>
    </w:p>
    <w:p w14:paraId="047A5A95" w14:textId="77777777" w:rsidR="0041766F" w:rsidRPr="003B37F4" w:rsidRDefault="0041766F" w:rsidP="0041766F">
      <w:pPr>
        <w:pStyle w:val="PlainText"/>
        <w:jc w:val="both"/>
        <w:rPr>
          <w:rFonts w:ascii="Arial" w:hAnsi="Arial" w:cs="Arial"/>
        </w:rPr>
      </w:pPr>
      <w:r w:rsidRPr="003B37F4">
        <w:rPr>
          <w:rFonts w:ascii="Arial" w:hAnsi="Arial" w:cs="Arial"/>
        </w:rPr>
        <w:t xml:space="preserve">The Health District does not currently keep track of its capital assets and infrastructure. The Health District has not made plans to track this, as it is not required by current law. The Health District does not own land or other real estate </w:t>
      </w:r>
      <w:proofErr w:type="gramStart"/>
      <w:r w:rsidRPr="003B37F4">
        <w:rPr>
          <w:rFonts w:ascii="Arial" w:hAnsi="Arial" w:cs="Arial"/>
        </w:rPr>
        <w:t>at this time</w:t>
      </w:r>
      <w:proofErr w:type="gramEnd"/>
      <w:r w:rsidRPr="003B37F4">
        <w:rPr>
          <w:rFonts w:ascii="Arial" w:hAnsi="Arial" w:cs="Arial"/>
        </w:rPr>
        <w:t>.</w:t>
      </w:r>
    </w:p>
    <w:p w14:paraId="64F1B69B" w14:textId="77777777" w:rsidR="0041766F" w:rsidRPr="003B37F4" w:rsidRDefault="0041766F" w:rsidP="00184E6A">
      <w:pPr>
        <w:pStyle w:val="Heading2"/>
      </w:pPr>
      <w:bookmarkStart w:id="30" w:name="_Toc284945517"/>
      <w:bookmarkStart w:id="31" w:name="_Toc315938409"/>
      <w:r w:rsidRPr="003B37F4">
        <w:t>Debt</w:t>
      </w:r>
      <w:bookmarkEnd w:id="30"/>
      <w:bookmarkEnd w:id="31"/>
    </w:p>
    <w:p w14:paraId="27F74628" w14:textId="77777777" w:rsidR="0041766F" w:rsidRPr="003B37F4" w:rsidRDefault="0041766F" w:rsidP="0041766F">
      <w:pPr>
        <w:pStyle w:val="PlainText"/>
        <w:jc w:val="both"/>
        <w:rPr>
          <w:rFonts w:ascii="Arial" w:hAnsi="Arial" w:cs="Arial"/>
        </w:rPr>
      </w:pPr>
    </w:p>
    <w:p w14:paraId="544B2AF2" w14:textId="57EC3246" w:rsidR="0041766F" w:rsidRPr="003B37F4" w:rsidRDefault="005A69F9" w:rsidP="0041766F">
      <w:pPr>
        <w:pStyle w:val="PlainText"/>
        <w:jc w:val="both"/>
        <w:rPr>
          <w:rFonts w:ascii="Arial" w:hAnsi="Arial" w:cs="Arial"/>
        </w:rPr>
      </w:pPr>
      <w:r w:rsidRPr="003B37F4">
        <w:rPr>
          <w:rFonts w:ascii="Arial" w:hAnsi="Arial" w:cs="Arial"/>
        </w:rPr>
        <w:t>As of</w:t>
      </w:r>
      <w:r w:rsidR="0041766F" w:rsidRPr="003B37F4">
        <w:rPr>
          <w:rFonts w:ascii="Arial" w:hAnsi="Arial" w:cs="Arial"/>
        </w:rPr>
        <w:t xml:space="preserve"> December 31, </w:t>
      </w:r>
      <w:r w:rsidR="005A3182" w:rsidRPr="003B37F4">
        <w:rPr>
          <w:rFonts w:ascii="Arial" w:hAnsi="Arial" w:cs="Arial"/>
        </w:rPr>
        <w:t>20</w:t>
      </w:r>
      <w:r w:rsidR="00BA519E" w:rsidRPr="003B37F4">
        <w:rPr>
          <w:rFonts w:ascii="Arial" w:hAnsi="Arial" w:cs="Arial"/>
        </w:rPr>
        <w:t>2</w:t>
      </w:r>
      <w:r w:rsidR="007A6681" w:rsidRPr="003B37F4">
        <w:rPr>
          <w:rFonts w:ascii="Arial" w:hAnsi="Arial" w:cs="Arial"/>
        </w:rPr>
        <w:t>2</w:t>
      </w:r>
      <w:r w:rsidR="0041766F" w:rsidRPr="003B37F4">
        <w:rPr>
          <w:rFonts w:ascii="Arial" w:hAnsi="Arial" w:cs="Arial"/>
        </w:rPr>
        <w:t>, the Health District’s outstanding debt included future lease payments for the office facility and copier equipment, as well as accumulated leave balances for the Health District’s employees. For further information regarding the Health District’s rental lease, refer to the note 10 to the basic financial statements.</w:t>
      </w:r>
    </w:p>
    <w:p w14:paraId="62BB6B84" w14:textId="77777777" w:rsidR="0041766F" w:rsidRPr="003B37F4" w:rsidRDefault="0041766F" w:rsidP="00184E6A">
      <w:pPr>
        <w:pStyle w:val="Heading2"/>
      </w:pPr>
      <w:bookmarkStart w:id="32" w:name="_Toc284945518"/>
      <w:bookmarkStart w:id="33" w:name="_Toc315938410"/>
      <w:r w:rsidRPr="003B37F4">
        <w:t>Current Issues</w:t>
      </w:r>
      <w:bookmarkEnd w:id="32"/>
      <w:bookmarkEnd w:id="33"/>
    </w:p>
    <w:p w14:paraId="4B188C7B" w14:textId="43D9B060" w:rsidR="0041766F" w:rsidRPr="003B37F4" w:rsidRDefault="0041766F" w:rsidP="0041766F">
      <w:pPr>
        <w:pStyle w:val="PlainText"/>
        <w:jc w:val="both"/>
        <w:rPr>
          <w:rFonts w:ascii="Arial" w:hAnsi="Arial" w:cs="Arial"/>
        </w:rPr>
      </w:pPr>
      <w:r w:rsidRPr="003B37F4">
        <w:rPr>
          <w:rFonts w:ascii="Arial" w:hAnsi="Arial" w:cs="Arial"/>
        </w:rPr>
        <w:t xml:space="preserve">The challenge for all Health Districts is to provide high quality preventive health services to the public while staying within the restrictions imposed by limited, and in some cases shrinking funding.  The Health District relies heavily on inside millage from the cities, </w:t>
      </w:r>
      <w:r w:rsidR="00215D7A" w:rsidRPr="003B37F4">
        <w:rPr>
          <w:rFonts w:ascii="Arial" w:hAnsi="Arial" w:cs="Arial"/>
        </w:rPr>
        <w:t>townships</w:t>
      </w:r>
      <w:r w:rsidR="005A69F9" w:rsidRPr="003B37F4">
        <w:rPr>
          <w:rFonts w:ascii="Arial" w:hAnsi="Arial" w:cs="Arial"/>
        </w:rPr>
        <w:t>, and villages and state levy</w:t>
      </w:r>
      <w:r w:rsidRPr="003B37F4">
        <w:rPr>
          <w:rFonts w:ascii="Arial" w:hAnsi="Arial" w:cs="Arial"/>
        </w:rPr>
        <w:t xml:space="preserve"> grant funds; as the inside millage and the grant funds are </w:t>
      </w:r>
      <w:proofErr w:type="gramStart"/>
      <w:r w:rsidRPr="003B37F4">
        <w:rPr>
          <w:rFonts w:ascii="Arial" w:hAnsi="Arial" w:cs="Arial"/>
        </w:rPr>
        <w:t>fairly fixed</w:t>
      </w:r>
      <w:proofErr w:type="gramEnd"/>
      <w:r w:rsidR="00FF5737" w:rsidRPr="003B37F4">
        <w:rPr>
          <w:rFonts w:ascii="Arial" w:hAnsi="Arial" w:cs="Arial"/>
        </w:rPr>
        <w:t>,</w:t>
      </w:r>
      <w:r w:rsidRPr="003B37F4">
        <w:rPr>
          <w:rFonts w:ascii="Arial" w:hAnsi="Arial" w:cs="Arial"/>
        </w:rPr>
        <w:t xml:space="preserve"> we continue to struggle with the increase</w:t>
      </w:r>
      <w:r w:rsidR="00FF5737" w:rsidRPr="003B37F4">
        <w:rPr>
          <w:rFonts w:ascii="Arial" w:hAnsi="Arial" w:cs="Arial"/>
        </w:rPr>
        <w:t>s</w:t>
      </w:r>
      <w:r w:rsidRPr="003B37F4">
        <w:rPr>
          <w:rFonts w:ascii="Arial" w:hAnsi="Arial" w:cs="Arial"/>
        </w:rPr>
        <w:t xml:space="preserve"> in operating expenses primarily in personnel costs. Without a significant change in these resources, even with conservative spending, the Health District will continue to see a decrease in financial stability.  The </w:t>
      </w:r>
      <w:proofErr w:type="gramStart"/>
      <w:r w:rsidRPr="003B37F4">
        <w:rPr>
          <w:rFonts w:ascii="Arial" w:hAnsi="Arial" w:cs="Arial"/>
        </w:rPr>
        <w:t>District</w:t>
      </w:r>
      <w:proofErr w:type="gramEnd"/>
      <w:r w:rsidRPr="003B37F4">
        <w:rPr>
          <w:rFonts w:ascii="Arial" w:hAnsi="Arial" w:cs="Arial"/>
        </w:rPr>
        <w:t xml:space="preserve"> successfully passed a 0.4 mil levy in November 2007</w:t>
      </w:r>
      <w:r w:rsidR="00DE5765" w:rsidRPr="003B37F4">
        <w:rPr>
          <w:rFonts w:ascii="Arial" w:hAnsi="Arial" w:cs="Arial"/>
        </w:rPr>
        <w:t>,</w:t>
      </w:r>
      <w:r w:rsidR="007D7D6E" w:rsidRPr="003B37F4">
        <w:rPr>
          <w:rFonts w:ascii="Arial" w:hAnsi="Arial" w:cs="Arial"/>
        </w:rPr>
        <w:t xml:space="preserve"> May </w:t>
      </w:r>
      <w:r w:rsidR="00990866" w:rsidRPr="003B37F4">
        <w:rPr>
          <w:rFonts w:ascii="Arial" w:hAnsi="Arial" w:cs="Arial"/>
        </w:rPr>
        <w:t>2012,</w:t>
      </w:r>
      <w:r w:rsidRPr="003B37F4">
        <w:rPr>
          <w:rFonts w:ascii="Arial" w:hAnsi="Arial" w:cs="Arial"/>
        </w:rPr>
        <w:t xml:space="preserve"> </w:t>
      </w:r>
      <w:r w:rsidR="00DE5765" w:rsidRPr="003B37F4">
        <w:rPr>
          <w:rFonts w:ascii="Arial" w:hAnsi="Arial" w:cs="Arial"/>
        </w:rPr>
        <w:t>November 2016</w:t>
      </w:r>
      <w:r w:rsidR="00BA519E" w:rsidRPr="003B37F4">
        <w:rPr>
          <w:rFonts w:ascii="Arial" w:hAnsi="Arial" w:cs="Arial"/>
        </w:rPr>
        <w:t>, and November 2021</w:t>
      </w:r>
      <w:r w:rsidR="00DE5765" w:rsidRPr="003B37F4">
        <w:rPr>
          <w:rFonts w:ascii="Arial" w:hAnsi="Arial" w:cs="Arial"/>
        </w:rPr>
        <w:t>. T</w:t>
      </w:r>
      <w:r w:rsidRPr="003B37F4">
        <w:rPr>
          <w:rFonts w:ascii="Arial" w:hAnsi="Arial" w:cs="Arial"/>
        </w:rPr>
        <w:t xml:space="preserve">his additional funding in </w:t>
      </w:r>
      <w:r w:rsidR="00FF5737" w:rsidRPr="003B37F4">
        <w:rPr>
          <w:rFonts w:ascii="Arial" w:hAnsi="Arial" w:cs="Arial"/>
        </w:rPr>
        <w:t>20</w:t>
      </w:r>
      <w:r w:rsidR="00BA519E" w:rsidRPr="003B37F4">
        <w:rPr>
          <w:rFonts w:ascii="Arial" w:hAnsi="Arial" w:cs="Arial"/>
        </w:rPr>
        <w:t>23</w:t>
      </w:r>
      <w:r w:rsidR="00FF5737" w:rsidRPr="003B37F4">
        <w:rPr>
          <w:rFonts w:ascii="Arial" w:hAnsi="Arial" w:cs="Arial"/>
        </w:rPr>
        <w:t xml:space="preserve"> through 202</w:t>
      </w:r>
      <w:r w:rsidR="00BA519E" w:rsidRPr="003B37F4">
        <w:rPr>
          <w:rFonts w:ascii="Arial" w:hAnsi="Arial" w:cs="Arial"/>
        </w:rPr>
        <w:t>8</w:t>
      </w:r>
      <w:r w:rsidR="007D7D6E" w:rsidRPr="003B37F4">
        <w:rPr>
          <w:rFonts w:ascii="Arial" w:hAnsi="Arial" w:cs="Arial"/>
        </w:rPr>
        <w:t xml:space="preserve"> </w:t>
      </w:r>
      <w:r w:rsidRPr="003B37F4">
        <w:rPr>
          <w:rFonts w:ascii="Arial" w:hAnsi="Arial" w:cs="Arial"/>
        </w:rPr>
        <w:t>will assure that basic service provision can continue even with shrinkage of grant funding.</w:t>
      </w:r>
    </w:p>
    <w:p w14:paraId="07D2293F" w14:textId="77777777" w:rsidR="00D24584" w:rsidRPr="003B37F4" w:rsidRDefault="00D24584">
      <w:pPr>
        <w:widowControl/>
        <w:autoSpaceDE/>
        <w:autoSpaceDN/>
        <w:adjustRightInd/>
        <w:spacing w:after="200"/>
        <w:rPr>
          <w:rFonts w:asciiTheme="majorHAnsi" w:eastAsiaTheme="majorEastAsia" w:hAnsiTheme="majorHAnsi" w:cstheme="majorBidi"/>
          <w:b/>
          <w:bCs/>
          <w:color w:val="4F81BD" w:themeColor="accent1"/>
          <w:sz w:val="26"/>
          <w:szCs w:val="26"/>
        </w:rPr>
      </w:pPr>
      <w:r w:rsidRPr="003B37F4">
        <w:br w:type="page"/>
      </w:r>
    </w:p>
    <w:p w14:paraId="24851235" w14:textId="77777777" w:rsidR="0041766F" w:rsidRPr="003B37F4" w:rsidRDefault="0041766F" w:rsidP="00184E6A">
      <w:pPr>
        <w:pStyle w:val="Heading2"/>
      </w:pPr>
      <w:bookmarkStart w:id="34" w:name="_Toc284945519"/>
      <w:bookmarkStart w:id="35" w:name="_Toc315938411"/>
      <w:r w:rsidRPr="003B37F4">
        <w:lastRenderedPageBreak/>
        <w:t>Contacting the Health District’s Financial Management</w:t>
      </w:r>
      <w:bookmarkEnd w:id="34"/>
      <w:bookmarkEnd w:id="35"/>
    </w:p>
    <w:p w14:paraId="20183733" w14:textId="77777777" w:rsidR="0041766F" w:rsidRPr="003B37F4" w:rsidRDefault="0041766F" w:rsidP="0041766F">
      <w:pPr>
        <w:pStyle w:val="PlainText"/>
        <w:jc w:val="both"/>
        <w:rPr>
          <w:rFonts w:ascii="Arial" w:hAnsi="Arial" w:cs="Arial"/>
        </w:rPr>
      </w:pPr>
    </w:p>
    <w:p w14:paraId="5C0A5EFD" w14:textId="77777777" w:rsidR="0041766F" w:rsidRPr="003B37F4" w:rsidRDefault="0041766F" w:rsidP="0041766F">
      <w:pPr>
        <w:pStyle w:val="PlainText"/>
        <w:jc w:val="both"/>
        <w:rPr>
          <w:rFonts w:ascii="Arial" w:hAnsi="Arial" w:cs="Arial"/>
        </w:rPr>
      </w:pPr>
      <w:r w:rsidRPr="003B37F4">
        <w:rPr>
          <w:rFonts w:ascii="Arial" w:hAnsi="Arial" w:cs="Arial"/>
        </w:rPr>
        <w:t xml:space="preserve">This financial report is designed to provide our citizens, taxpayers, investors, and creditors with a general overview of the Health District’s finances and to reflect the Health District’s accountability for the monies it receives.  Questions concerning any of the information in this report or requests for additional information should be directed to </w:t>
      </w:r>
      <w:r w:rsidR="00DE5765" w:rsidRPr="003B37F4">
        <w:rPr>
          <w:rFonts w:ascii="Arial" w:hAnsi="Arial" w:cs="Arial"/>
        </w:rPr>
        <w:t>Gabe Jones</w:t>
      </w:r>
      <w:r w:rsidR="0006609D" w:rsidRPr="003B37F4">
        <w:rPr>
          <w:rFonts w:ascii="Arial" w:hAnsi="Arial" w:cs="Arial"/>
        </w:rPr>
        <w:t xml:space="preserve">, </w:t>
      </w:r>
      <w:r w:rsidRPr="003B37F4">
        <w:rPr>
          <w:rFonts w:ascii="Arial" w:hAnsi="Arial" w:cs="Arial"/>
        </w:rPr>
        <w:t>Health Commissioner, Champaign Health District, 1512 S. US Highway 68, Suite Q100, Urbana, OH  43078.</w:t>
      </w:r>
    </w:p>
    <w:p w14:paraId="14EB0A59" w14:textId="77777777" w:rsidR="0041766F" w:rsidRPr="003B37F4" w:rsidRDefault="0041766F" w:rsidP="0041766F">
      <w:pPr>
        <w:pStyle w:val="PlainText"/>
        <w:jc w:val="both"/>
        <w:rPr>
          <w:rFonts w:ascii="Arial" w:hAnsi="Arial" w:cs="Arial"/>
          <w:b/>
        </w:rPr>
      </w:pPr>
    </w:p>
    <w:p w14:paraId="17F8A42B" w14:textId="77777777" w:rsidR="007916FF" w:rsidRPr="003B37F4" w:rsidRDefault="007916FF"/>
    <w:p w14:paraId="38BEC310" w14:textId="77777777" w:rsidR="007916FF" w:rsidRPr="003B37F4" w:rsidRDefault="007916FF">
      <w:pPr>
        <w:widowControl/>
        <w:autoSpaceDE/>
        <w:autoSpaceDN/>
        <w:adjustRightInd/>
        <w:spacing w:after="200"/>
      </w:pPr>
      <w:r w:rsidRPr="003B37F4">
        <w:br w:type="page"/>
      </w:r>
    </w:p>
    <w:p w14:paraId="094E148F" w14:textId="77777777" w:rsidR="007916FF" w:rsidRPr="003B37F4" w:rsidRDefault="007916FF">
      <w:pPr>
        <w:rPr>
          <w:rFonts w:eastAsiaTheme="minorEastAsia"/>
          <w:lang w:eastAsia="ja-JP"/>
        </w:rPr>
      </w:pPr>
    </w:p>
    <w:p w14:paraId="137759F7" w14:textId="77777777" w:rsidR="00CB12C8" w:rsidRPr="003B37F4" w:rsidRDefault="00CB12C8" w:rsidP="00CB12C8">
      <w:pPr>
        <w:pStyle w:val="Heading1"/>
        <w:rPr>
          <w:caps/>
        </w:rPr>
      </w:pPr>
      <w:bookmarkStart w:id="36" w:name="_Toc284945520"/>
      <w:bookmarkStart w:id="37" w:name="_Toc315938412"/>
      <w:r w:rsidRPr="003B37F4">
        <w:rPr>
          <w:caps/>
        </w:rPr>
        <w:t>Basic Financial Statements</w:t>
      </w:r>
      <w:bookmarkEnd w:id="36"/>
      <w:bookmarkEnd w:id="37"/>
    </w:p>
    <w:p w14:paraId="64C30C0E" w14:textId="77777777" w:rsidR="007916FF" w:rsidRPr="003B37F4" w:rsidRDefault="00184E6A" w:rsidP="00184E6A">
      <w:pPr>
        <w:pStyle w:val="Heading2"/>
      </w:pPr>
      <w:bookmarkStart w:id="38" w:name="_Toc284945521"/>
      <w:bookmarkStart w:id="39" w:name="_Toc315938413"/>
      <w:r w:rsidRPr="003B37F4">
        <w:t>Statement of Net Assets – Cash Basis</w:t>
      </w:r>
      <w:bookmarkEnd w:id="38"/>
      <w:bookmarkEnd w:id="39"/>
    </w:p>
    <w:p w14:paraId="29B25F30" w14:textId="68DAF4F9" w:rsidR="003A66B5" w:rsidRPr="003B37F4" w:rsidRDefault="003A66B5" w:rsidP="003A66B5">
      <w:pPr>
        <w:jc w:val="center"/>
      </w:pPr>
      <w:r w:rsidRPr="003B37F4">
        <w:t xml:space="preserve">For the Year Ending December 31, </w:t>
      </w:r>
      <w:r w:rsidR="006463F0" w:rsidRPr="003B37F4">
        <w:t>20</w:t>
      </w:r>
      <w:r w:rsidR="00BA519E" w:rsidRPr="003B37F4">
        <w:t>2</w:t>
      </w:r>
      <w:r w:rsidR="00941723" w:rsidRPr="003B37F4">
        <w:t>2</w:t>
      </w:r>
    </w:p>
    <w:p w14:paraId="3AFA6FB5" w14:textId="77777777" w:rsidR="003A66B5" w:rsidRPr="003B37F4" w:rsidRDefault="003A66B5" w:rsidP="003A66B5">
      <w:pPr>
        <w:jc w:val="center"/>
      </w:pPr>
      <w:r w:rsidRPr="003B37F4">
        <w:t>(Unaudited)</w:t>
      </w:r>
    </w:p>
    <w:p w14:paraId="349C403B" w14:textId="77777777" w:rsidR="003A66B5" w:rsidRPr="003B37F4" w:rsidRDefault="003A66B5" w:rsidP="003A66B5"/>
    <w:p w14:paraId="6958EA3A" w14:textId="77777777" w:rsidR="00184E6A" w:rsidRPr="003B37F4" w:rsidRDefault="00184E6A" w:rsidP="00184E6A"/>
    <w:p w14:paraId="131EA843" w14:textId="77777777" w:rsidR="00184E6A" w:rsidRPr="003B37F4" w:rsidRDefault="00972EBD" w:rsidP="00184E6A">
      <w:r w:rsidRPr="003B37F4">
        <w:t xml:space="preserve">                </w:t>
      </w:r>
    </w:p>
    <w:p w14:paraId="1A29C91D" w14:textId="77777777" w:rsidR="007916FF" w:rsidRPr="003B37F4" w:rsidRDefault="007916FF"/>
    <w:tbl>
      <w:tblPr>
        <w:tblW w:w="8020" w:type="dxa"/>
        <w:tblInd w:w="93" w:type="dxa"/>
        <w:tblLook w:val="04A0" w:firstRow="1" w:lastRow="0" w:firstColumn="1" w:lastColumn="0" w:noHBand="0" w:noVBand="1"/>
      </w:tblPr>
      <w:tblGrid>
        <w:gridCol w:w="6060"/>
        <w:gridCol w:w="1960"/>
      </w:tblGrid>
      <w:tr w:rsidR="006463F0" w:rsidRPr="003B37F4" w14:paraId="63EA299A" w14:textId="77777777" w:rsidTr="006463F0">
        <w:trPr>
          <w:trHeight w:val="255"/>
        </w:trPr>
        <w:tc>
          <w:tcPr>
            <w:tcW w:w="6060" w:type="dxa"/>
            <w:tcBorders>
              <w:top w:val="nil"/>
              <w:left w:val="nil"/>
              <w:bottom w:val="nil"/>
              <w:right w:val="nil"/>
            </w:tcBorders>
            <w:shd w:val="clear" w:color="auto" w:fill="auto"/>
            <w:noWrap/>
            <w:vAlign w:val="bottom"/>
            <w:hideMark/>
          </w:tcPr>
          <w:p w14:paraId="50152EE8" w14:textId="77777777" w:rsidR="006463F0" w:rsidRPr="003B37F4" w:rsidRDefault="006463F0" w:rsidP="006463F0">
            <w:pPr>
              <w:widowControl/>
              <w:autoSpaceDE/>
              <w:autoSpaceDN/>
              <w:adjustRightInd/>
              <w:rPr>
                <w:rFonts w:cs="Arial"/>
                <w:szCs w:val="20"/>
              </w:rPr>
            </w:pPr>
          </w:p>
        </w:tc>
        <w:tc>
          <w:tcPr>
            <w:tcW w:w="1960" w:type="dxa"/>
            <w:tcBorders>
              <w:top w:val="nil"/>
              <w:left w:val="nil"/>
              <w:bottom w:val="nil"/>
              <w:right w:val="nil"/>
            </w:tcBorders>
            <w:shd w:val="clear" w:color="auto" w:fill="auto"/>
            <w:noWrap/>
            <w:vAlign w:val="bottom"/>
            <w:hideMark/>
          </w:tcPr>
          <w:p w14:paraId="57B55E29" w14:textId="77777777" w:rsidR="006463F0" w:rsidRPr="003B37F4" w:rsidRDefault="006463F0" w:rsidP="006463F0">
            <w:pPr>
              <w:widowControl/>
              <w:autoSpaceDE/>
              <w:autoSpaceDN/>
              <w:adjustRightInd/>
              <w:rPr>
                <w:rFonts w:cs="Arial"/>
                <w:szCs w:val="20"/>
              </w:rPr>
            </w:pPr>
            <w:r w:rsidRPr="003B37F4">
              <w:rPr>
                <w:rFonts w:cs="Arial"/>
                <w:szCs w:val="20"/>
              </w:rPr>
              <w:t>Primary Government</w:t>
            </w:r>
          </w:p>
        </w:tc>
      </w:tr>
      <w:tr w:rsidR="006463F0" w:rsidRPr="003B37F4" w14:paraId="23C73074" w14:textId="77777777" w:rsidTr="006463F0">
        <w:trPr>
          <w:trHeight w:val="255"/>
        </w:trPr>
        <w:tc>
          <w:tcPr>
            <w:tcW w:w="6060" w:type="dxa"/>
            <w:tcBorders>
              <w:top w:val="nil"/>
              <w:left w:val="nil"/>
              <w:bottom w:val="nil"/>
              <w:right w:val="nil"/>
            </w:tcBorders>
            <w:shd w:val="clear" w:color="auto" w:fill="auto"/>
            <w:noWrap/>
            <w:vAlign w:val="bottom"/>
            <w:hideMark/>
          </w:tcPr>
          <w:p w14:paraId="294AE990" w14:textId="77777777" w:rsidR="006463F0" w:rsidRPr="003B37F4" w:rsidRDefault="006463F0" w:rsidP="006463F0">
            <w:pPr>
              <w:widowControl/>
              <w:autoSpaceDE/>
              <w:autoSpaceDN/>
              <w:adjustRightInd/>
              <w:rPr>
                <w:rFonts w:cs="Arial"/>
                <w:szCs w:val="20"/>
              </w:rPr>
            </w:pPr>
          </w:p>
        </w:tc>
        <w:tc>
          <w:tcPr>
            <w:tcW w:w="1960" w:type="dxa"/>
            <w:tcBorders>
              <w:top w:val="nil"/>
              <w:left w:val="nil"/>
              <w:bottom w:val="nil"/>
              <w:right w:val="nil"/>
            </w:tcBorders>
            <w:shd w:val="clear" w:color="auto" w:fill="auto"/>
            <w:noWrap/>
            <w:vAlign w:val="bottom"/>
            <w:hideMark/>
          </w:tcPr>
          <w:p w14:paraId="39EF1361" w14:textId="77777777" w:rsidR="006463F0" w:rsidRPr="003B37F4" w:rsidRDefault="006463F0" w:rsidP="006463F0">
            <w:pPr>
              <w:widowControl/>
              <w:autoSpaceDE/>
              <w:autoSpaceDN/>
              <w:adjustRightInd/>
              <w:rPr>
                <w:rFonts w:cs="Arial"/>
                <w:szCs w:val="20"/>
              </w:rPr>
            </w:pPr>
            <w:r w:rsidRPr="003B37F4">
              <w:rPr>
                <w:rFonts w:cs="Arial"/>
                <w:szCs w:val="20"/>
              </w:rPr>
              <w:t>Governmental</w:t>
            </w:r>
          </w:p>
        </w:tc>
      </w:tr>
      <w:tr w:rsidR="006463F0" w:rsidRPr="003B37F4" w14:paraId="517A28A5" w14:textId="77777777" w:rsidTr="006463F0">
        <w:trPr>
          <w:trHeight w:val="255"/>
        </w:trPr>
        <w:tc>
          <w:tcPr>
            <w:tcW w:w="6060" w:type="dxa"/>
            <w:tcBorders>
              <w:top w:val="nil"/>
              <w:left w:val="nil"/>
              <w:bottom w:val="nil"/>
              <w:right w:val="nil"/>
            </w:tcBorders>
            <w:shd w:val="clear" w:color="auto" w:fill="auto"/>
            <w:noWrap/>
            <w:vAlign w:val="bottom"/>
            <w:hideMark/>
          </w:tcPr>
          <w:p w14:paraId="2B9A9F2B" w14:textId="77777777" w:rsidR="006463F0" w:rsidRPr="003B37F4" w:rsidRDefault="006463F0" w:rsidP="006463F0">
            <w:pPr>
              <w:widowControl/>
              <w:autoSpaceDE/>
              <w:autoSpaceDN/>
              <w:adjustRightInd/>
              <w:rPr>
                <w:rFonts w:cs="Arial"/>
                <w:szCs w:val="20"/>
              </w:rPr>
            </w:pPr>
          </w:p>
        </w:tc>
        <w:tc>
          <w:tcPr>
            <w:tcW w:w="1960" w:type="dxa"/>
            <w:tcBorders>
              <w:top w:val="nil"/>
              <w:left w:val="nil"/>
              <w:bottom w:val="nil"/>
              <w:right w:val="nil"/>
            </w:tcBorders>
            <w:shd w:val="clear" w:color="auto" w:fill="auto"/>
            <w:noWrap/>
            <w:vAlign w:val="bottom"/>
            <w:hideMark/>
          </w:tcPr>
          <w:p w14:paraId="65D903F8" w14:textId="77777777" w:rsidR="006463F0" w:rsidRPr="003B37F4" w:rsidRDefault="006463F0" w:rsidP="006463F0">
            <w:pPr>
              <w:widowControl/>
              <w:autoSpaceDE/>
              <w:autoSpaceDN/>
              <w:adjustRightInd/>
              <w:rPr>
                <w:rFonts w:cs="Arial"/>
                <w:szCs w:val="20"/>
              </w:rPr>
            </w:pPr>
            <w:r w:rsidRPr="003B37F4">
              <w:rPr>
                <w:rFonts w:cs="Arial"/>
                <w:szCs w:val="20"/>
              </w:rPr>
              <w:t>Activities</w:t>
            </w:r>
          </w:p>
        </w:tc>
      </w:tr>
      <w:tr w:rsidR="006463F0" w:rsidRPr="003B37F4" w14:paraId="1524CF61" w14:textId="77777777" w:rsidTr="006463F0">
        <w:trPr>
          <w:trHeight w:val="255"/>
        </w:trPr>
        <w:tc>
          <w:tcPr>
            <w:tcW w:w="6060" w:type="dxa"/>
            <w:tcBorders>
              <w:top w:val="nil"/>
              <w:left w:val="nil"/>
              <w:bottom w:val="nil"/>
              <w:right w:val="nil"/>
            </w:tcBorders>
            <w:shd w:val="clear" w:color="auto" w:fill="auto"/>
            <w:noWrap/>
            <w:vAlign w:val="bottom"/>
            <w:hideMark/>
          </w:tcPr>
          <w:p w14:paraId="56761CD4" w14:textId="77777777" w:rsidR="006463F0" w:rsidRPr="003B37F4" w:rsidRDefault="006463F0" w:rsidP="006463F0">
            <w:pPr>
              <w:widowControl/>
              <w:autoSpaceDE/>
              <w:autoSpaceDN/>
              <w:adjustRightInd/>
              <w:rPr>
                <w:rFonts w:cs="Arial"/>
                <w:szCs w:val="20"/>
              </w:rPr>
            </w:pPr>
            <w:r w:rsidRPr="003B37F4">
              <w:rPr>
                <w:rFonts w:cs="Arial"/>
                <w:szCs w:val="20"/>
              </w:rPr>
              <w:t>Assets</w:t>
            </w:r>
          </w:p>
        </w:tc>
        <w:tc>
          <w:tcPr>
            <w:tcW w:w="1960" w:type="dxa"/>
            <w:tcBorders>
              <w:top w:val="nil"/>
              <w:left w:val="nil"/>
              <w:bottom w:val="nil"/>
              <w:right w:val="nil"/>
            </w:tcBorders>
            <w:shd w:val="clear" w:color="auto" w:fill="auto"/>
            <w:noWrap/>
            <w:vAlign w:val="bottom"/>
            <w:hideMark/>
          </w:tcPr>
          <w:p w14:paraId="0C3CD785" w14:textId="77777777" w:rsidR="006463F0" w:rsidRPr="003B37F4" w:rsidRDefault="006463F0" w:rsidP="006463F0">
            <w:pPr>
              <w:widowControl/>
              <w:autoSpaceDE/>
              <w:autoSpaceDN/>
              <w:adjustRightInd/>
              <w:rPr>
                <w:rFonts w:cs="Arial"/>
                <w:szCs w:val="20"/>
              </w:rPr>
            </w:pPr>
          </w:p>
        </w:tc>
      </w:tr>
      <w:tr w:rsidR="006463F0" w:rsidRPr="003B37F4" w14:paraId="44A235DA" w14:textId="77777777" w:rsidTr="006463F0">
        <w:trPr>
          <w:trHeight w:val="255"/>
        </w:trPr>
        <w:tc>
          <w:tcPr>
            <w:tcW w:w="6060" w:type="dxa"/>
            <w:tcBorders>
              <w:top w:val="nil"/>
              <w:left w:val="nil"/>
              <w:bottom w:val="nil"/>
              <w:right w:val="nil"/>
            </w:tcBorders>
            <w:shd w:val="clear" w:color="auto" w:fill="auto"/>
            <w:noWrap/>
            <w:vAlign w:val="bottom"/>
            <w:hideMark/>
          </w:tcPr>
          <w:p w14:paraId="40346958" w14:textId="77777777" w:rsidR="006463F0" w:rsidRPr="003B37F4" w:rsidRDefault="006463F0" w:rsidP="006463F0">
            <w:pPr>
              <w:widowControl/>
              <w:autoSpaceDE/>
              <w:autoSpaceDN/>
              <w:adjustRightInd/>
              <w:rPr>
                <w:rFonts w:cs="Arial"/>
                <w:szCs w:val="20"/>
              </w:rPr>
            </w:pPr>
            <w:r w:rsidRPr="003B37F4">
              <w:rPr>
                <w:rFonts w:cs="Arial"/>
                <w:szCs w:val="20"/>
              </w:rPr>
              <w:t>Equity in Pooled Cash and Cash Equivalents</w:t>
            </w:r>
          </w:p>
        </w:tc>
        <w:tc>
          <w:tcPr>
            <w:tcW w:w="1960" w:type="dxa"/>
            <w:tcBorders>
              <w:top w:val="nil"/>
              <w:left w:val="nil"/>
              <w:bottom w:val="nil"/>
              <w:right w:val="nil"/>
            </w:tcBorders>
            <w:shd w:val="clear" w:color="auto" w:fill="auto"/>
            <w:noWrap/>
            <w:vAlign w:val="bottom"/>
            <w:hideMark/>
          </w:tcPr>
          <w:p w14:paraId="35BA3C25" w14:textId="150356AA" w:rsidR="006463F0" w:rsidRPr="003B37F4" w:rsidRDefault="00941723" w:rsidP="006463F0">
            <w:pPr>
              <w:widowControl/>
              <w:autoSpaceDE/>
              <w:autoSpaceDN/>
              <w:adjustRightInd/>
              <w:rPr>
                <w:rFonts w:cs="Arial"/>
                <w:szCs w:val="20"/>
              </w:rPr>
            </w:pPr>
            <w:r w:rsidRPr="003B37F4">
              <w:rPr>
                <w:rFonts w:cs="Arial"/>
                <w:szCs w:val="20"/>
              </w:rPr>
              <w:t>1,441,416</w:t>
            </w:r>
            <w:r w:rsidR="006463F0" w:rsidRPr="003B37F4">
              <w:rPr>
                <w:rFonts w:cs="Arial"/>
                <w:szCs w:val="20"/>
              </w:rPr>
              <w:t xml:space="preserve"> </w:t>
            </w:r>
          </w:p>
        </w:tc>
      </w:tr>
      <w:tr w:rsidR="006463F0" w:rsidRPr="003B37F4" w14:paraId="2B5F8E60" w14:textId="77777777" w:rsidTr="006463F0">
        <w:trPr>
          <w:trHeight w:val="255"/>
        </w:trPr>
        <w:tc>
          <w:tcPr>
            <w:tcW w:w="6060" w:type="dxa"/>
            <w:tcBorders>
              <w:top w:val="nil"/>
              <w:left w:val="nil"/>
              <w:bottom w:val="nil"/>
              <w:right w:val="nil"/>
            </w:tcBorders>
            <w:shd w:val="clear" w:color="auto" w:fill="auto"/>
            <w:noWrap/>
            <w:vAlign w:val="bottom"/>
            <w:hideMark/>
          </w:tcPr>
          <w:p w14:paraId="1DF8C0F1" w14:textId="77777777" w:rsidR="006463F0" w:rsidRPr="003B37F4" w:rsidRDefault="006463F0" w:rsidP="006463F0">
            <w:pPr>
              <w:widowControl/>
              <w:autoSpaceDE/>
              <w:autoSpaceDN/>
              <w:adjustRightInd/>
              <w:rPr>
                <w:rFonts w:cs="Arial"/>
                <w:szCs w:val="20"/>
              </w:rPr>
            </w:pPr>
          </w:p>
        </w:tc>
        <w:tc>
          <w:tcPr>
            <w:tcW w:w="1960" w:type="dxa"/>
            <w:tcBorders>
              <w:top w:val="nil"/>
              <w:left w:val="nil"/>
              <w:bottom w:val="nil"/>
              <w:right w:val="nil"/>
            </w:tcBorders>
            <w:shd w:val="clear" w:color="auto" w:fill="auto"/>
            <w:noWrap/>
            <w:vAlign w:val="bottom"/>
            <w:hideMark/>
          </w:tcPr>
          <w:p w14:paraId="6B0EA1BC" w14:textId="77777777" w:rsidR="006463F0" w:rsidRPr="003B37F4" w:rsidRDefault="006463F0" w:rsidP="006463F0">
            <w:pPr>
              <w:widowControl/>
              <w:autoSpaceDE/>
              <w:autoSpaceDN/>
              <w:adjustRightInd/>
              <w:rPr>
                <w:rFonts w:cs="Arial"/>
                <w:szCs w:val="20"/>
              </w:rPr>
            </w:pPr>
            <w:r w:rsidRPr="003B37F4">
              <w:rPr>
                <w:rFonts w:cs="Arial"/>
                <w:szCs w:val="20"/>
              </w:rPr>
              <w:t> </w:t>
            </w:r>
          </w:p>
        </w:tc>
      </w:tr>
      <w:tr w:rsidR="006463F0" w:rsidRPr="003B37F4" w14:paraId="64548B96" w14:textId="77777777" w:rsidTr="006463F0">
        <w:trPr>
          <w:trHeight w:val="255"/>
        </w:trPr>
        <w:tc>
          <w:tcPr>
            <w:tcW w:w="6060" w:type="dxa"/>
            <w:tcBorders>
              <w:top w:val="nil"/>
              <w:left w:val="nil"/>
              <w:bottom w:val="nil"/>
              <w:right w:val="nil"/>
            </w:tcBorders>
            <w:shd w:val="clear" w:color="auto" w:fill="auto"/>
            <w:noWrap/>
            <w:vAlign w:val="bottom"/>
            <w:hideMark/>
          </w:tcPr>
          <w:p w14:paraId="0BE5D411" w14:textId="77777777" w:rsidR="006463F0" w:rsidRPr="003B37F4" w:rsidRDefault="006463F0" w:rsidP="006463F0">
            <w:pPr>
              <w:widowControl/>
              <w:autoSpaceDE/>
              <w:autoSpaceDN/>
              <w:adjustRightInd/>
              <w:rPr>
                <w:rFonts w:cs="Arial"/>
                <w:szCs w:val="20"/>
              </w:rPr>
            </w:pPr>
            <w:r w:rsidRPr="003B37F4">
              <w:rPr>
                <w:rFonts w:cs="Arial"/>
                <w:szCs w:val="20"/>
              </w:rPr>
              <w:t>Total Position</w:t>
            </w:r>
          </w:p>
        </w:tc>
        <w:tc>
          <w:tcPr>
            <w:tcW w:w="1960" w:type="dxa"/>
            <w:tcBorders>
              <w:top w:val="nil"/>
              <w:left w:val="nil"/>
              <w:bottom w:val="nil"/>
              <w:right w:val="nil"/>
            </w:tcBorders>
            <w:shd w:val="clear" w:color="auto" w:fill="auto"/>
            <w:noWrap/>
            <w:vAlign w:val="bottom"/>
            <w:hideMark/>
          </w:tcPr>
          <w:p w14:paraId="0B0545D4" w14:textId="6DD10E51" w:rsidR="006463F0" w:rsidRPr="003B37F4" w:rsidRDefault="00941723" w:rsidP="006463F0">
            <w:pPr>
              <w:widowControl/>
              <w:autoSpaceDE/>
              <w:autoSpaceDN/>
              <w:adjustRightInd/>
              <w:rPr>
                <w:rFonts w:cs="Arial"/>
                <w:szCs w:val="20"/>
              </w:rPr>
            </w:pPr>
            <w:r w:rsidRPr="003B37F4">
              <w:rPr>
                <w:rFonts w:cs="Arial"/>
                <w:szCs w:val="20"/>
              </w:rPr>
              <w:t>1,441,416</w:t>
            </w:r>
            <w:r w:rsidR="006463F0" w:rsidRPr="003B37F4">
              <w:rPr>
                <w:rFonts w:cs="Arial"/>
                <w:szCs w:val="20"/>
              </w:rPr>
              <w:t xml:space="preserve"> </w:t>
            </w:r>
          </w:p>
        </w:tc>
      </w:tr>
      <w:tr w:rsidR="006463F0" w:rsidRPr="003B37F4" w14:paraId="6E7120BC" w14:textId="77777777" w:rsidTr="006463F0">
        <w:trPr>
          <w:trHeight w:val="255"/>
        </w:trPr>
        <w:tc>
          <w:tcPr>
            <w:tcW w:w="6060" w:type="dxa"/>
            <w:tcBorders>
              <w:top w:val="nil"/>
              <w:left w:val="nil"/>
              <w:bottom w:val="nil"/>
              <w:right w:val="nil"/>
            </w:tcBorders>
            <w:shd w:val="clear" w:color="auto" w:fill="auto"/>
            <w:noWrap/>
            <w:vAlign w:val="bottom"/>
            <w:hideMark/>
          </w:tcPr>
          <w:p w14:paraId="1A7BF4D4" w14:textId="77777777" w:rsidR="006463F0" w:rsidRPr="003B37F4" w:rsidRDefault="006463F0" w:rsidP="006463F0">
            <w:pPr>
              <w:widowControl/>
              <w:autoSpaceDE/>
              <w:autoSpaceDN/>
              <w:adjustRightInd/>
              <w:rPr>
                <w:rFonts w:cs="Arial"/>
                <w:szCs w:val="20"/>
              </w:rPr>
            </w:pPr>
          </w:p>
        </w:tc>
        <w:tc>
          <w:tcPr>
            <w:tcW w:w="1960" w:type="dxa"/>
            <w:tcBorders>
              <w:top w:val="nil"/>
              <w:left w:val="nil"/>
              <w:bottom w:val="nil"/>
              <w:right w:val="nil"/>
            </w:tcBorders>
            <w:shd w:val="clear" w:color="auto" w:fill="auto"/>
            <w:noWrap/>
            <w:vAlign w:val="bottom"/>
            <w:hideMark/>
          </w:tcPr>
          <w:p w14:paraId="206C1BBF" w14:textId="77777777" w:rsidR="006463F0" w:rsidRPr="003B37F4" w:rsidRDefault="006463F0" w:rsidP="006463F0">
            <w:pPr>
              <w:widowControl/>
              <w:autoSpaceDE/>
              <w:autoSpaceDN/>
              <w:adjustRightInd/>
              <w:rPr>
                <w:rFonts w:cs="Arial"/>
                <w:szCs w:val="20"/>
              </w:rPr>
            </w:pPr>
          </w:p>
        </w:tc>
      </w:tr>
      <w:tr w:rsidR="006463F0" w:rsidRPr="003B37F4" w14:paraId="7488B9BE" w14:textId="77777777" w:rsidTr="006463F0">
        <w:trPr>
          <w:trHeight w:val="255"/>
        </w:trPr>
        <w:tc>
          <w:tcPr>
            <w:tcW w:w="6060" w:type="dxa"/>
            <w:tcBorders>
              <w:top w:val="nil"/>
              <w:left w:val="nil"/>
              <w:bottom w:val="nil"/>
              <w:right w:val="nil"/>
            </w:tcBorders>
            <w:shd w:val="clear" w:color="auto" w:fill="auto"/>
            <w:noWrap/>
            <w:vAlign w:val="bottom"/>
            <w:hideMark/>
          </w:tcPr>
          <w:p w14:paraId="0501CEE7" w14:textId="77777777" w:rsidR="006463F0" w:rsidRPr="003B37F4" w:rsidRDefault="006463F0" w:rsidP="006463F0">
            <w:pPr>
              <w:widowControl/>
              <w:autoSpaceDE/>
              <w:autoSpaceDN/>
              <w:adjustRightInd/>
              <w:rPr>
                <w:rFonts w:cs="Arial"/>
                <w:szCs w:val="20"/>
              </w:rPr>
            </w:pPr>
          </w:p>
        </w:tc>
        <w:tc>
          <w:tcPr>
            <w:tcW w:w="1960" w:type="dxa"/>
            <w:tcBorders>
              <w:top w:val="nil"/>
              <w:left w:val="nil"/>
              <w:bottom w:val="nil"/>
              <w:right w:val="nil"/>
            </w:tcBorders>
            <w:shd w:val="clear" w:color="auto" w:fill="auto"/>
            <w:noWrap/>
            <w:vAlign w:val="bottom"/>
            <w:hideMark/>
          </w:tcPr>
          <w:p w14:paraId="316B181C" w14:textId="77777777" w:rsidR="006463F0" w:rsidRPr="003B37F4" w:rsidRDefault="006463F0" w:rsidP="006463F0">
            <w:pPr>
              <w:widowControl/>
              <w:autoSpaceDE/>
              <w:autoSpaceDN/>
              <w:adjustRightInd/>
              <w:rPr>
                <w:rFonts w:cs="Arial"/>
                <w:szCs w:val="20"/>
              </w:rPr>
            </w:pPr>
          </w:p>
        </w:tc>
      </w:tr>
      <w:tr w:rsidR="006463F0" w:rsidRPr="003B37F4" w14:paraId="64A05BC0" w14:textId="77777777" w:rsidTr="006463F0">
        <w:trPr>
          <w:trHeight w:val="255"/>
        </w:trPr>
        <w:tc>
          <w:tcPr>
            <w:tcW w:w="6060" w:type="dxa"/>
            <w:tcBorders>
              <w:top w:val="nil"/>
              <w:left w:val="nil"/>
              <w:bottom w:val="nil"/>
              <w:right w:val="nil"/>
            </w:tcBorders>
            <w:shd w:val="clear" w:color="auto" w:fill="auto"/>
            <w:noWrap/>
            <w:vAlign w:val="bottom"/>
            <w:hideMark/>
          </w:tcPr>
          <w:p w14:paraId="3C4AAA7B" w14:textId="77777777" w:rsidR="006463F0" w:rsidRPr="003B37F4" w:rsidRDefault="006463F0" w:rsidP="006463F0">
            <w:pPr>
              <w:widowControl/>
              <w:autoSpaceDE/>
              <w:autoSpaceDN/>
              <w:adjustRightInd/>
              <w:rPr>
                <w:rFonts w:cs="Arial"/>
                <w:szCs w:val="20"/>
              </w:rPr>
            </w:pPr>
            <w:r w:rsidRPr="003B37F4">
              <w:rPr>
                <w:rFonts w:cs="Arial"/>
                <w:szCs w:val="20"/>
              </w:rPr>
              <w:t>Net Assets</w:t>
            </w:r>
          </w:p>
        </w:tc>
        <w:tc>
          <w:tcPr>
            <w:tcW w:w="1960" w:type="dxa"/>
            <w:tcBorders>
              <w:top w:val="nil"/>
              <w:left w:val="nil"/>
              <w:bottom w:val="nil"/>
              <w:right w:val="nil"/>
            </w:tcBorders>
            <w:shd w:val="clear" w:color="auto" w:fill="auto"/>
            <w:noWrap/>
            <w:vAlign w:val="bottom"/>
            <w:hideMark/>
          </w:tcPr>
          <w:p w14:paraId="177AFF49" w14:textId="77777777" w:rsidR="006463F0" w:rsidRPr="003B37F4" w:rsidRDefault="006463F0" w:rsidP="006463F0">
            <w:pPr>
              <w:widowControl/>
              <w:autoSpaceDE/>
              <w:autoSpaceDN/>
              <w:adjustRightInd/>
              <w:rPr>
                <w:rFonts w:cs="Arial"/>
                <w:szCs w:val="20"/>
              </w:rPr>
            </w:pPr>
          </w:p>
        </w:tc>
      </w:tr>
      <w:tr w:rsidR="006463F0" w:rsidRPr="003B37F4" w14:paraId="0E859EE6" w14:textId="77777777" w:rsidTr="006463F0">
        <w:trPr>
          <w:trHeight w:val="255"/>
        </w:trPr>
        <w:tc>
          <w:tcPr>
            <w:tcW w:w="6060" w:type="dxa"/>
            <w:tcBorders>
              <w:top w:val="nil"/>
              <w:left w:val="nil"/>
              <w:bottom w:val="nil"/>
              <w:right w:val="nil"/>
            </w:tcBorders>
            <w:shd w:val="clear" w:color="auto" w:fill="auto"/>
            <w:noWrap/>
            <w:vAlign w:val="bottom"/>
            <w:hideMark/>
          </w:tcPr>
          <w:p w14:paraId="76ECB27B" w14:textId="77777777" w:rsidR="006463F0" w:rsidRPr="003B37F4" w:rsidRDefault="006463F0" w:rsidP="006463F0">
            <w:pPr>
              <w:widowControl/>
              <w:autoSpaceDE/>
              <w:autoSpaceDN/>
              <w:adjustRightInd/>
              <w:rPr>
                <w:rFonts w:cs="Arial"/>
                <w:szCs w:val="20"/>
              </w:rPr>
            </w:pPr>
            <w:r w:rsidRPr="003B37F4">
              <w:rPr>
                <w:rFonts w:cs="Arial"/>
                <w:szCs w:val="20"/>
              </w:rPr>
              <w:t>Restricted for:</w:t>
            </w:r>
          </w:p>
        </w:tc>
        <w:tc>
          <w:tcPr>
            <w:tcW w:w="1960" w:type="dxa"/>
            <w:tcBorders>
              <w:top w:val="nil"/>
              <w:left w:val="nil"/>
              <w:bottom w:val="nil"/>
              <w:right w:val="nil"/>
            </w:tcBorders>
            <w:shd w:val="clear" w:color="auto" w:fill="auto"/>
            <w:noWrap/>
            <w:vAlign w:val="bottom"/>
            <w:hideMark/>
          </w:tcPr>
          <w:p w14:paraId="718821CD" w14:textId="77777777" w:rsidR="006463F0" w:rsidRPr="003B37F4" w:rsidRDefault="006463F0" w:rsidP="006463F0">
            <w:pPr>
              <w:widowControl/>
              <w:autoSpaceDE/>
              <w:autoSpaceDN/>
              <w:adjustRightInd/>
              <w:rPr>
                <w:rFonts w:cs="Arial"/>
                <w:szCs w:val="20"/>
              </w:rPr>
            </w:pPr>
          </w:p>
        </w:tc>
      </w:tr>
      <w:tr w:rsidR="006463F0" w:rsidRPr="003B37F4" w14:paraId="71F71C3A" w14:textId="77777777" w:rsidTr="006463F0">
        <w:trPr>
          <w:trHeight w:val="255"/>
        </w:trPr>
        <w:tc>
          <w:tcPr>
            <w:tcW w:w="6060" w:type="dxa"/>
            <w:tcBorders>
              <w:top w:val="nil"/>
              <w:left w:val="nil"/>
              <w:bottom w:val="nil"/>
              <w:right w:val="nil"/>
            </w:tcBorders>
            <w:shd w:val="clear" w:color="auto" w:fill="auto"/>
            <w:noWrap/>
            <w:vAlign w:val="bottom"/>
            <w:hideMark/>
          </w:tcPr>
          <w:p w14:paraId="372DA6E9" w14:textId="77777777" w:rsidR="006463F0" w:rsidRPr="003B37F4" w:rsidRDefault="006463F0" w:rsidP="006463F0">
            <w:pPr>
              <w:widowControl/>
              <w:autoSpaceDE/>
              <w:autoSpaceDN/>
              <w:adjustRightInd/>
              <w:rPr>
                <w:rFonts w:cs="Arial"/>
                <w:szCs w:val="20"/>
              </w:rPr>
            </w:pPr>
            <w:r w:rsidRPr="003B37F4">
              <w:rPr>
                <w:rFonts w:cs="Arial"/>
                <w:szCs w:val="20"/>
              </w:rPr>
              <w:t xml:space="preserve">   Other Purposes</w:t>
            </w:r>
          </w:p>
        </w:tc>
        <w:tc>
          <w:tcPr>
            <w:tcW w:w="1960" w:type="dxa"/>
            <w:tcBorders>
              <w:top w:val="nil"/>
              <w:left w:val="nil"/>
              <w:bottom w:val="nil"/>
              <w:right w:val="nil"/>
            </w:tcBorders>
            <w:shd w:val="clear" w:color="auto" w:fill="auto"/>
            <w:noWrap/>
            <w:vAlign w:val="bottom"/>
            <w:hideMark/>
          </w:tcPr>
          <w:p w14:paraId="6D690BD0" w14:textId="4AE6D15F" w:rsidR="006463F0" w:rsidRPr="003B37F4" w:rsidRDefault="00941723" w:rsidP="006463F0">
            <w:pPr>
              <w:widowControl/>
              <w:autoSpaceDE/>
              <w:autoSpaceDN/>
              <w:adjustRightInd/>
              <w:rPr>
                <w:rFonts w:cs="Arial"/>
                <w:szCs w:val="20"/>
              </w:rPr>
            </w:pPr>
            <w:r w:rsidRPr="003B37F4">
              <w:rPr>
                <w:rFonts w:cs="Arial"/>
                <w:szCs w:val="20"/>
              </w:rPr>
              <w:t>406,243</w:t>
            </w:r>
            <w:r w:rsidR="006463F0" w:rsidRPr="003B37F4">
              <w:rPr>
                <w:rFonts w:cs="Arial"/>
                <w:szCs w:val="20"/>
              </w:rPr>
              <w:t xml:space="preserve"> </w:t>
            </w:r>
          </w:p>
        </w:tc>
      </w:tr>
      <w:tr w:rsidR="006463F0" w:rsidRPr="003B37F4" w14:paraId="076AB3DB" w14:textId="77777777" w:rsidTr="006463F0">
        <w:trPr>
          <w:trHeight w:val="255"/>
        </w:trPr>
        <w:tc>
          <w:tcPr>
            <w:tcW w:w="6060" w:type="dxa"/>
            <w:tcBorders>
              <w:top w:val="nil"/>
              <w:left w:val="nil"/>
              <w:bottom w:val="nil"/>
              <w:right w:val="nil"/>
            </w:tcBorders>
            <w:shd w:val="clear" w:color="auto" w:fill="auto"/>
            <w:noWrap/>
            <w:vAlign w:val="bottom"/>
            <w:hideMark/>
          </w:tcPr>
          <w:p w14:paraId="3002CC0A" w14:textId="77777777" w:rsidR="006463F0" w:rsidRPr="003B37F4" w:rsidRDefault="006463F0" w:rsidP="006463F0">
            <w:pPr>
              <w:widowControl/>
              <w:autoSpaceDE/>
              <w:autoSpaceDN/>
              <w:adjustRightInd/>
              <w:rPr>
                <w:rFonts w:cs="Arial"/>
                <w:szCs w:val="20"/>
              </w:rPr>
            </w:pPr>
            <w:r w:rsidRPr="003B37F4">
              <w:rPr>
                <w:rFonts w:cs="Arial"/>
                <w:szCs w:val="20"/>
              </w:rPr>
              <w:t>Unrestricted</w:t>
            </w:r>
          </w:p>
        </w:tc>
        <w:tc>
          <w:tcPr>
            <w:tcW w:w="1960" w:type="dxa"/>
            <w:tcBorders>
              <w:top w:val="nil"/>
              <w:left w:val="nil"/>
              <w:bottom w:val="nil"/>
              <w:right w:val="nil"/>
            </w:tcBorders>
            <w:shd w:val="clear" w:color="auto" w:fill="auto"/>
            <w:noWrap/>
            <w:vAlign w:val="bottom"/>
            <w:hideMark/>
          </w:tcPr>
          <w:p w14:paraId="765A75EB" w14:textId="280641D0" w:rsidR="006463F0" w:rsidRPr="003B37F4" w:rsidRDefault="00941723" w:rsidP="006463F0">
            <w:pPr>
              <w:widowControl/>
              <w:autoSpaceDE/>
              <w:autoSpaceDN/>
              <w:adjustRightInd/>
              <w:rPr>
                <w:rFonts w:cs="Arial"/>
                <w:szCs w:val="20"/>
              </w:rPr>
            </w:pPr>
            <w:r w:rsidRPr="003B37F4">
              <w:rPr>
                <w:rFonts w:cs="Arial"/>
                <w:szCs w:val="20"/>
              </w:rPr>
              <w:t>1,035,173</w:t>
            </w:r>
            <w:r w:rsidR="006463F0" w:rsidRPr="003B37F4">
              <w:rPr>
                <w:rFonts w:cs="Arial"/>
                <w:szCs w:val="20"/>
              </w:rPr>
              <w:t xml:space="preserve"> </w:t>
            </w:r>
          </w:p>
        </w:tc>
      </w:tr>
      <w:tr w:rsidR="006463F0" w:rsidRPr="003B37F4" w14:paraId="10D6F1B3" w14:textId="77777777" w:rsidTr="006463F0">
        <w:trPr>
          <w:trHeight w:val="255"/>
        </w:trPr>
        <w:tc>
          <w:tcPr>
            <w:tcW w:w="6060" w:type="dxa"/>
            <w:tcBorders>
              <w:top w:val="nil"/>
              <w:left w:val="nil"/>
              <w:bottom w:val="nil"/>
              <w:right w:val="nil"/>
            </w:tcBorders>
            <w:shd w:val="clear" w:color="auto" w:fill="auto"/>
            <w:noWrap/>
            <w:vAlign w:val="bottom"/>
            <w:hideMark/>
          </w:tcPr>
          <w:p w14:paraId="23829939" w14:textId="77777777" w:rsidR="006463F0" w:rsidRPr="003B37F4" w:rsidRDefault="006463F0" w:rsidP="006463F0">
            <w:pPr>
              <w:widowControl/>
              <w:autoSpaceDE/>
              <w:autoSpaceDN/>
              <w:adjustRightInd/>
              <w:rPr>
                <w:rFonts w:cs="Arial"/>
                <w:szCs w:val="20"/>
              </w:rPr>
            </w:pPr>
          </w:p>
        </w:tc>
        <w:tc>
          <w:tcPr>
            <w:tcW w:w="1960" w:type="dxa"/>
            <w:tcBorders>
              <w:top w:val="nil"/>
              <w:left w:val="nil"/>
              <w:bottom w:val="nil"/>
              <w:right w:val="nil"/>
            </w:tcBorders>
            <w:shd w:val="clear" w:color="auto" w:fill="auto"/>
            <w:noWrap/>
            <w:vAlign w:val="bottom"/>
            <w:hideMark/>
          </w:tcPr>
          <w:p w14:paraId="643CF02E" w14:textId="77777777" w:rsidR="006463F0" w:rsidRPr="003B37F4" w:rsidRDefault="006463F0" w:rsidP="006463F0">
            <w:pPr>
              <w:widowControl/>
              <w:autoSpaceDE/>
              <w:autoSpaceDN/>
              <w:adjustRightInd/>
              <w:rPr>
                <w:rFonts w:cs="Arial"/>
                <w:szCs w:val="20"/>
              </w:rPr>
            </w:pPr>
          </w:p>
        </w:tc>
      </w:tr>
      <w:tr w:rsidR="006463F0" w:rsidRPr="003B37F4" w14:paraId="597A34DE" w14:textId="77777777" w:rsidTr="006463F0">
        <w:trPr>
          <w:trHeight w:val="255"/>
        </w:trPr>
        <w:tc>
          <w:tcPr>
            <w:tcW w:w="6060" w:type="dxa"/>
            <w:tcBorders>
              <w:top w:val="nil"/>
              <w:left w:val="nil"/>
              <w:bottom w:val="nil"/>
              <w:right w:val="nil"/>
            </w:tcBorders>
            <w:shd w:val="clear" w:color="auto" w:fill="auto"/>
            <w:noWrap/>
            <w:vAlign w:val="bottom"/>
            <w:hideMark/>
          </w:tcPr>
          <w:p w14:paraId="21032377" w14:textId="77777777" w:rsidR="006463F0" w:rsidRPr="003B37F4" w:rsidRDefault="006463F0" w:rsidP="006463F0">
            <w:pPr>
              <w:widowControl/>
              <w:autoSpaceDE/>
              <w:autoSpaceDN/>
              <w:adjustRightInd/>
              <w:rPr>
                <w:rFonts w:cs="Arial"/>
                <w:szCs w:val="20"/>
              </w:rPr>
            </w:pPr>
            <w:r w:rsidRPr="003B37F4">
              <w:rPr>
                <w:rFonts w:cs="Arial"/>
                <w:szCs w:val="20"/>
              </w:rPr>
              <w:t>Total Net Position</w:t>
            </w:r>
          </w:p>
        </w:tc>
        <w:tc>
          <w:tcPr>
            <w:tcW w:w="1960" w:type="dxa"/>
            <w:tcBorders>
              <w:top w:val="nil"/>
              <w:left w:val="nil"/>
              <w:bottom w:val="nil"/>
              <w:right w:val="nil"/>
            </w:tcBorders>
            <w:shd w:val="clear" w:color="auto" w:fill="auto"/>
            <w:noWrap/>
            <w:vAlign w:val="bottom"/>
            <w:hideMark/>
          </w:tcPr>
          <w:p w14:paraId="107451FE" w14:textId="1AC303D0" w:rsidR="006463F0" w:rsidRPr="003B37F4" w:rsidRDefault="00941723" w:rsidP="006463F0">
            <w:pPr>
              <w:widowControl/>
              <w:autoSpaceDE/>
              <w:autoSpaceDN/>
              <w:adjustRightInd/>
              <w:rPr>
                <w:rFonts w:cs="Arial"/>
                <w:szCs w:val="20"/>
              </w:rPr>
            </w:pPr>
            <w:r w:rsidRPr="003B37F4">
              <w:rPr>
                <w:rFonts w:cs="Arial"/>
                <w:szCs w:val="20"/>
              </w:rPr>
              <w:t>1,441,416</w:t>
            </w:r>
            <w:r w:rsidR="006463F0" w:rsidRPr="003B37F4">
              <w:rPr>
                <w:rFonts w:cs="Arial"/>
                <w:szCs w:val="20"/>
              </w:rPr>
              <w:t xml:space="preserve"> </w:t>
            </w:r>
          </w:p>
        </w:tc>
      </w:tr>
      <w:tr w:rsidR="006463F0" w:rsidRPr="003B37F4" w14:paraId="6F4B6A80" w14:textId="77777777" w:rsidTr="006463F0">
        <w:trPr>
          <w:trHeight w:val="255"/>
        </w:trPr>
        <w:tc>
          <w:tcPr>
            <w:tcW w:w="6060" w:type="dxa"/>
            <w:tcBorders>
              <w:top w:val="nil"/>
              <w:left w:val="nil"/>
              <w:bottom w:val="nil"/>
              <w:right w:val="nil"/>
            </w:tcBorders>
            <w:shd w:val="clear" w:color="auto" w:fill="auto"/>
            <w:noWrap/>
            <w:vAlign w:val="bottom"/>
            <w:hideMark/>
          </w:tcPr>
          <w:p w14:paraId="404B204F" w14:textId="77777777" w:rsidR="006463F0" w:rsidRPr="003B37F4" w:rsidRDefault="006463F0" w:rsidP="006463F0">
            <w:pPr>
              <w:widowControl/>
              <w:autoSpaceDE/>
              <w:autoSpaceDN/>
              <w:adjustRightInd/>
              <w:rPr>
                <w:rFonts w:cs="Arial"/>
                <w:szCs w:val="20"/>
              </w:rPr>
            </w:pPr>
          </w:p>
        </w:tc>
        <w:tc>
          <w:tcPr>
            <w:tcW w:w="1960" w:type="dxa"/>
            <w:tcBorders>
              <w:top w:val="nil"/>
              <w:left w:val="nil"/>
              <w:bottom w:val="nil"/>
              <w:right w:val="nil"/>
            </w:tcBorders>
            <w:shd w:val="clear" w:color="auto" w:fill="auto"/>
            <w:noWrap/>
            <w:vAlign w:val="bottom"/>
            <w:hideMark/>
          </w:tcPr>
          <w:p w14:paraId="1D23539D" w14:textId="77777777" w:rsidR="006463F0" w:rsidRPr="003B37F4" w:rsidRDefault="006463F0" w:rsidP="006463F0">
            <w:pPr>
              <w:widowControl/>
              <w:autoSpaceDE/>
              <w:autoSpaceDN/>
              <w:adjustRightInd/>
              <w:rPr>
                <w:rFonts w:cs="Arial"/>
                <w:szCs w:val="20"/>
              </w:rPr>
            </w:pPr>
          </w:p>
        </w:tc>
      </w:tr>
      <w:tr w:rsidR="006463F0" w:rsidRPr="003B37F4" w14:paraId="7598D33B" w14:textId="77777777" w:rsidTr="006463F0">
        <w:trPr>
          <w:trHeight w:val="255"/>
        </w:trPr>
        <w:tc>
          <w:tcPr>
            <w:tcW w:w="6060" w:type="dxa"/>
            <w:tcBorders>
              <w:top w:val="nil"/>
              <w:left w:val="nil"/>
              <w:bottom w:val="nil"/>
              <w:right w:val="nil"/>
            </w:tcBorders>
            <w:shd w:val="clear" w:color="auto" w:fill="auto"/>
            <w:noWrap/>
            <w:vAlign w:val="bottom"/>
            <w:hideMark/>
          </w:tcPr>
          <w:p w14:paraId="3B41A0BE" w14:textId="77777777" w:rsidR="006463F0" w:rsidRPr="003B37F4" w:rsidRDefault="006463F0" w:rsidP="006463F0">
            <w:pPr>
              <w:widowControl/>
              <w:autoSpaceDE/>
              <w:autoSpaceDN/>
              <w:adjustRightInd/>
              <w:rPr>
                <w:rFonts w:cs="Arial"/>
                <w:szCs w:val="20"/>
              </w:rPr>
            </w:pPr>
          </w:p>
        </w:tc>
        <w:tc>
          <w:tcPr>
            <w:tcW w:w="1960" w:type="dxa"/>
            <w:tcBorders>
              <w:top w:val="nil"/>
              <w:left w:val="nil"/>
              <w:bottom w:val="nil"/>
              <w:right w:val="nil"/>
            </w:tcBorders>
            <w:shd w:val="clear" w:color="auto" w:fill="auto"/>
            <w:noWrap/>
            <w:vAlign w:val="bottom"/>
            <w:hideMark/>
          </w:tcPr>
          <w:p w14:paraId="5FC076C2" w14:textId="77777777" w:rsidR="006463F0" w:rsidRPr="003B37F4" w:rsidRDefault="006463F0" w:rsidP="006463F0">
            <w:pPr>
              <w:widowControl/>
              <w:autoSpaceDE/>
              <w:autoSpaceDN/>
              <w:adjustRightInd/>
              <w:rPr>
                <w:rFonts w:cs="Arial"/>
                <w:szCs w:val="20"/>
              </w:rPr>
            </w:pPr>
          </w:p>
        </w:tc>
      </w:tr>
      <w:tr w:rsidR="00A04456" w:rsidRPr="003B37F4" w14:paraId="15779F30" w14:textId="77777777" w:rsidTr="00A04456">
        <w:trPr>
          <w:trHeight w:val="255"/>
        </w:trPr>
        <w:tc>
          <w:tcPr>
            <w:tcW w:w="6060" w:type="dxa"/>
            <w:tcBorders>
              <w:top w:val="nil"/>
              <w:left w:val="nil"/>
              <w:bottom w:val="nil"/>
              <w:right w:val="nil"/>
            </w:tcBorders>
            <w:shd w:val="clear" w:color="auto" w:fill="auto"/>
            <w:noWrap/>
            <w:vAlign w:val="bottom"/>
            <w:hideMark/>
          </w:tcPr>
          <w:p w14:paraId="02EC67B6" w14:textId="77777777" w:rsidR="00A04456" w:rsidRPr="003B37F4" w:rsidRDefault="00A04456" w:rsidP="00A04456">
            <w:pPr>
              <w:widowControl/>
              <w:autoSpaceDE/>
              <w:autoSpaceDN/>
              <w:adjustRightInd/>
              <w:rPr>
                <w:rFonts w:cs="Arial"/>
                <w:szCs w:val="20"/>
              </w:rPr>
            </w:pPr>
          </w:p>
        </w:tc>
        <w:tc>
          <w:tcPr>
            <w:tcW w:w="1960" w:type="dxa"/>
            <w:tcBorders>
              <w:top w:val="nil"/>
              <w:left w:val="nil"/>
              <w:bottom w:val="nil"/>
              <w:right w:val="nil"/>
            </w:tcBorders>
            <w:shd w:val="clear" w:color="auto" w:fill="auto"/>
            <w:noWrap/>
            <w:vAlign w:val="bottom"/>
            <w:hideMark/>
          </w:tcPr>
          <w:p w14:paraId="42536C89" w14:textId="77777777" w:rsidR="00A04456" w:rsidRPr="003B37F4" w:rsidRDefault="00A04456" w:rsidP="00A04456">
            <w:pPr>
              <w:widowControl/>
              <w:autoSpaceDE/>
              <w:autoSpaceDN/>
              <w:adjustRightInd/>
              <w:rPr>
                <w:rFonts w:cs="Arial"/>
                <w:szCs w:val="20"/>
              </w:rPr>
            </w:pPr>
          </w:p>
        </w:tc>
      </w:tr>
      <w:tr w:rsidR="00A04456" w:rsidRPr="003B37F4" w14:paraId="6FECC056" w14:textId="77777777" w:rsidTr="00A04456">
        <w:trPr>
          <w:trHeight w:val="255"/>
        </w:trPr>
        <w:tc>
          <w:tcPr>
            <w:tcW w:w="6060" w:type="dxa"/>
            <w:tcBorders>
              <w:top w:val="nil"/>
              <w:left w:val="nil"/>
              <w:bottom w:val="nil"/>
              <w:right w:val="nil"/>
            </w:tcBorders>
            <w:shd w:val="clear" w:color="auto" w:fill="auto"/>
            <w:noWrap/>
            <w:vAlign w:val="bottom"/>
            <w:hideMark/>
          </w:tcPr>
          <w:p w14:paraId="2922AFA2" w14:textId="77777777" w:rsidR="00A04456" w:rsidRPr="003B37F4" w:rsidRDefault="00A04456" w:rsidP="00A04456">
            <w:pPr>
              <w:widowControl/>
              <w:autoSpaceDE/>
              <w:autoSpaceDN/>
              <w:adjustRightInd/>
              <w:rPr>
                <w:rFonts w:cs="Arial"/>
                <w:szCs w:val="20"/>
              </w:rPr>
            </w:pPr>
            <w:r w:rsidRPr="003B37F4">
              <w:rPr>
                <w:rFonts w:cs="Arial"/>
                <w:szCs w:val="20"/>
              </w:rPr>
              <w:t>See accompanying notes to the basic financial statements</w:t>
            </w:r>
          </w:p>
        </w:tc>
        <w:tc>
          <w:tcPr>
            <w:tcW w:w="1960" w:type="dxa"/>
            <w:tcBorders>
              <w:top w:val="nil"/>
              <w:left w:val="nil"/>
              <w:bottom w:val="nil"/>
              <w:right w:val="nil"/>
            </w:tcBorders>
            <w:shd w:val="clear" w:color="auto" w:fill="auto"/>
            <w:noWrap/>
            <w:vAlign w:val="bottom"/>
            <w:hideMark/>
          </w:tcPr>
          <w:p w14:paraId="32B8A05C" w14:textId="77777777" w:rsidR="00A04456" w:rsidRPr="003B37F4" w:rsidRDefault="00A04456" w:rsidP="00A04456">
            <w:pPr>
              <w:widowControl/>
              <w:autoSpaceDE/>
              <w:autoSpaceDN/>
              <w:adjustRightInd/>
              <w:rPr>
                <w:rFonts w:cs="Arial"/>
                <w:szCs w:val="20"/>
              </w:rPr>
            </w:pPr>
          </w:p>
        </w:tc>
      </w:tr>
    </w:tbl>
    <w:p w14:paraId="689B980E" w14:textId="77777777" w:rsidR="00692DFB" w:rsidRPr="003B37F4" w:rsidRDefault="00692DFB">
      <w:pPr>
        <w:sectPr w:rsidR="00692DFB" w:rsidRPr="003B37F4" w:rsidSect="00017A80">
          <w:footerReference w:type="even" r:id="rId12"/>
          <w:pgSz w:w="12240" w:h="15840" w:code="1"/>
          <w:pgMar w:top="720" w:right="1440" w:bottom="720" w:left="1440" w:header="720" w:footer="720" w:gutter="0"/>
          <w:cols w:space="720"/>
          <w:docGrid w:linePitch="360"/>
        </w:sectPr>
      </w:pPr>
    </w:p>
    <w:p w14:paraId="342531D2" w14:textId="77777777" w:rsidR="004E3CBC" w:rsidRPr="003B37F4" w:rsidRDefault="004E3CBC" w:rsidP="004E3CBC">
      <w:pPr>
        <w:pStyle w:val="Heading2"/>
      </w:pPr>
      <w:bookmarkStart w:id="40" w:name="_Toc284945522"/>
      <w:bookmarkStart w:id="41" w:name="_Toc315938414"/>
      <w:r w:rsidRPr="003B37F4">
        <w:lastRenderedPageBreak/>
        <w:t>Statement of Activities – Cash Basis</w:t>
      </w:r>
    </w:p>
    <w:tbl>
      <w:tblPr>
        <w:tblpPr w:leftFromText="180" w:rightFromText="180" w:vertAnchor="text" w:horzAnchor="margin" w:tblpX="-72" w:tblpY="29"/>
        <w:tblW w:w="10818" w:type="dxa"/>
        <w:tblLook w:val="04A0" w:firstRow="1" w:lastRow="0" w:firstColumn="1" w:lastColumn="0" w:noHBand="0" w:noVBand="1"/>
      </w:tblPr>
      <w:tblGrid>
        <w:gridCol w:w="10818"/>
      </w:tblGrid>
      <w:tr w:rsidR="00507B85" w:rsidRPr="003B37F4" w14:paraId="00D547E7" w14:textId="77777777" w:rsidTr="00194376">
        <w:trPr>
          <w:trHeight w:val="229"/>
        </w:trPr>
        <w:tc>
          <w:tcPr>
            <w:tcW w:w="10818" w:type="dxa"/>
            <w:tcBorders>
              <w:top w:val="nil"/>
              <w:left w:val="nil"/>
              <w:bottom w:val="nil"/>
              <w:right w:val="nil"/>
            </w:tcBorders>
            <w:shd w:val="clear" w:color="auto" w:fill="auto"/>
            <w:noWrap/>
            <w:vAlign w:val="bottom"/>
            <w:hideMark/>
          </w:tcPr>
          <w:p w14:paraId="11F50BE0" w14:textId="77777777" w:rsidR="00507B85" w:rsidRPr="003B37F4" w:rsidRDefault="00507B85" w:rsidP="00F009FE">
            <w:pPr>
              <w:widowControl/>
              <w:autoSpaceDE/>
              <w:autoSpaceDN/>
              <w:adjustRightInd/>
              <w:rPr>
                <w:rFonts w:cs="Arial"/>
                <w:i/>
                <w:iCs/>
                <w:szCs w:val="20"/>
              </w:rPr>
            </w:pPr>
          </w:p>
        </w:tc>
      </w:tr>
      <w:tr w:rsidR="00507B85" w:rsidRPr="003B37F4" w14:paraId="4E20D54F" w14:textId="77777777" w:rsidTr="00194376">
        <w:trPr>
          <w:trHeight w:val="229"/>
        </w:trPr>
        <w:tc>
          <w:tcPr>
            <w:tcW w:w="10818" w:type="dxa"/>
            <w:tcBorders>
              <w:top w:val="nil"/>
              <w:left w:val="nil"/>
              <w:bottom w:val="nil"/>
              <w:right w:val="nil"/>
            </w:tcBorders>
            <w:shd w:val="clear" w:color="auto" w:fill="auto"/>
            <w:noWrap/>
            <w:vAlign w:val="bottom"/>
            <w:hideMark/>
          </w:tcPr>
          <w:p w14:paraId="11340CE3" w14:textId="734190A5" w:rsidR="00507B85" w:rsidRPr="003B37F4" w:rsidRDefault="00507B85" w:rsidP="00194376">
            <w:pPr>
              <w:widowControl/>
              <w:autoSpaceDE/>
              <w:autoSpaceDN/>
              <w:adjustRightInd/>
              <w:jc w:val="center"/>
              <w:rPr>
                <w:rFonts w:cs="Arial"/>
                <w:i/>
                <w:iCs/>
                <w:szCs w:val="20"/>
              </w:rPr>
            </w:pPr>
            <w:r w:rsidRPr="003B37F4">
              <w:rPr>
                <w:rFonts w:cs="Arial"/>
                <w:i/>
                <w:iCs/>
                <w:szCs w:val="20"/>
              </w:rPr>
              <w:t xml:space="preserve">For </w:t>
            </w:r>
            <w:r w:rsidR="00F009FE" w:rsidRPr="003B37F4">
              <w:rPr>
                <w:rFonts w:cs="Arial"/>
                <w:i/>
                <w:iCs/>
                <w:szCs w:val="20"/>
              </w:rPr>
              <w:t xml:space="preserve">the Year Ended December 31, </w:t>
            </w:r>
            <w:r w:rsidR="006463F0" w:rsidRPr="003B37F4">
              <w:rPr>
                <w:rFonts w:cs="Arial"/>
                <w:i/>
                <w:iCs/>
                <w:szCs w:val="20"/>
              </w:rPr>
              <w:t>20</w:t>
            </w:r>
            <w:r w:rsidR="008F3785" w:rsidRPr="003B37F4">
              <w:rPr>
                <w:rFonts w:cs="Arial"/>
                <w:i/>
                <w:iCs/>
                <w:szCs w:val="20"/>
              </w:rPr>
              <w:t>2</w:t>
            </w:r>
            <w:r w:rsidR="00E63504" w:rsidRPr="003B37F4">
              <w:rPr>
                <w:rFonts w:cs="Arial"/>
                <w:i/>
                <w:iCs/>
                <w:szCs w:val="20"/>
              </w:rPr>
              <w:t>2</w:t>
            </w:r>
          </w:p>
          <w:p w14:paraId="28C1FD94" w14:textId="77777777" w:rsidR="00507B85" w:rsidRPr="003B37F4" w:rsidRDefault="00507B85" w:rsidP="00194376">
            <w:pPr>
              <w:widowControl/>
              <w:autoSpaceDE/>
              <w:autoSpaceDN/>
              <w:adjustRightInd/>
              <w:jc w:val="center"/>
              <w:rPr>
                <w:rFonts w:cs="Arial"/>
                <w:i/>
                <w:iCs/>
                <w:szCs w:val="20"/>
              </w:rPr>
            </w:pPr>
            <w:r w:rsidRPr="003B37F4">
              <w:rPr>
                <w:rFonts w:cs="Arial"/>
                <w:i/>
                <w:iCs/>
                <w:szCs w:val="20"/>
              </w:rPr>
              <w:t>(Unaudited)</w:t>
            </w:r>
          </w:p>
          <w:p w14:paraId="14DF1B23" w14:textId="572E5D66" w:rsidR="008F3785" w:rsidRPr="003B37F4" w:rsidRDefault="008F3785" w:rsidP="00194376">
            <w:pPr>
              <w:widowControl/>
              <w:autoSpaceDE/>
              <w:autoSpaceDN/>
              <w:adjustRightInd/>
              <w:jc w:val="center"/>
              <w:rPr>
                <w:rFonts w:cs="Arial"/>
                <w:i/>
                <w:iCs/>
                <w:szCs w:val="20"/>
              </w:rPr>
            </w:pPr>
          </w:p>
        </w:tc>
      </w:tr>
    </w:tbl>
    <w:p w14:paraId="5CA413BF" w14:textId="2F45B7C9" w:rsidR="00F009FE" w:rsidRPr="003B37F4" w:rsidRDefault="00E63504" w:rsidP="00692DFB">
      <w:pPr>
        <w:pStyle w:val="Heading2"/>
      </w:pPr>
      <w:bookmarkStart w:id="42" w:name="_Toc284945523"/>
      <w:bookmarkStart w:id="43" w:name="_Toc315938415"/>
      <w:bookmarkEnd w:id="40"/>
      <w:bookmarkEnd w:id="41"/>
      <w:r w:rsidRPr="003B37F4">
        <w:rPr>
          <w:noProof/>
        </w:rPr>
        <w:drawing>
          <wp:inline distT="0" distB="0" distL="0" distR="0" wp14:anchorId="7032F1FC" wp14:editId="6D7A46EE">
            <wp:extent cx="4972050" cy="619125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3"/>
                    <a:stretch>
                      <a:fillRect/>
                    </a:stretch>
                  </pic:blipFill>
                  <pic:spPr>
                    <a:xfrm>
                      <a:off x="0" y="0"/>
                      <a:ext cx="4972050" cy="6191250"/>
                    </a:xfrm>
                    <a:prstGeom prst="rect">
                      <a:avLst/>
                    </a:prstGeom>
                  </pic:spPr>
                </pic:pic>
              </a:graphicData>
            </a:graphic>
          </wp:inline>
        </w:drawing>
      </w:r>
    </w:p>
    <w:p w14:paraId="20A8724A" w14:textId="7935334E" w:rsidR="00E63504" w:rsidRPr="003B37F4" w:rsidRDefault="00E63504" w:rsidP="00E63504"/>
    <w:p w14:paraId="08FE40E8" w14:textId="1D0CCAA4" w:rsidR="00E63504" w:rsidRPr="003B37F4" w:rsidRDefault="00E63504" w:rsidP="00E63504"/>
    <w:p w14:paraId="0EC6BE90" w14:textId="77777777" w:rsidR="00E63504" w:rsidRPr="003B37F4" w:rsidRDefault="00E63504" w:rsidP="00E63504"/>
    <w:p w14:paraId="1D967908" w14:textId="77777777" w:rsidR="00F2557F" w:rsidRPr="003B37F4" w:rsidRDefault="00F2557F" w:rsidP="00F2557F"/>
    <w:p w14:paraId="1841D63A" w14:textId="77777777" w:rsidR="00F009FE" w:rsidRPr="003B37F4" w:rsidRDefault="00F009FE" w:rsidP="00F009FE"/>
    <w:p w14:paraId="30C41FDA" w14:textId="77777777" w:rsidR="00692DFB" w:rsidRPr="003B37F4" w:rsidRDefault="00692DFB" w:rsidP="00692DFB">
      <w:pPr>
        <w:pStyle w:val="Heading2"/>
      </w:pPr>
      <w:r w:rsidRPr="003B37F4">
        <w:lastRenderedPageBreak/>
        <w:t>Statement of Cash Basis Assets and Fund Balances</w:t>
      </w:r>
      <w:bookmarkEnd w:id="42"/>
      <w:bookmarkEnd w:id="43"/>
    </w:p>
    <w:p w14:paraId="6F06AB2F" w14:textId="77777777" w:rsidR="003A66B5" w:rsidRPr="003B37F4" w:rsidRDefault="003A66B5" w:rsidP="003A66B5">
      <w:pPr>
        <w:jc w:val="center"/>
      </w:pPr>
    </w:p>
    <w:p w14:paraId="6DE224BB" w14:textId="6815D4A3" w:rsidR="003A66B5" w:rsidRPr="003B37F4" w:rsidRDefault="003A66B5" w:rsidP="003A66B5">
      <w:pPr>
        <w:jc w:val="center"/>
      </w:pPr>
      <w:r w:rsidRPr="003B37F4">
        <w:t xml:space="preserve">For the Year Ending December 31, </w:t>
      </w:r>
      <w:r w:rsidR="00BE7434" w:rsidRPr="003B37F4">
        <w:t>2</w:t>
      </w:r>
      <w:r w:rsidR="008F44CD" w:rsidRPr="003B37F4">
        <w:t>0</w:t>
      </w:r>
      <w:r w:rsidR="008F3785" w:rsidRPr="003B37F4">
        <w:t>2</w:t>
      </w:r>
      <w:r w:rsidR="00E63504" w:rsidRPr="003B37F4">
        <w:t>2</w:t>
      </w:r>
    </w:p>
    <w:p w14:paraId="17A8011D" w14:textId="77777777" w:rsidR="003A66B5" w:rsidRPr="003B37F4" w:rsidRDefault="003A66B5" w:rsidP="003A66B5">
      <w:pPr>
        <w:jc w:val="center"/>
      </w:pPr>
      <w:r w:rsidRPr="003B37F4">
        <w:t>(Unaudited)</w:t>
      </w:r>
    </w:p>
    <w:p w14:paraId="233F6DA9" w14:textId="77777777" w:rsidR="00FF39BA" w:rsidRPr="003B37F4" w:rsidRDefault="00FF39BA" w:rsidP="003A66B5">
      <w:pPr>
        <w:jc w:val="center"/>
      </w:pPr>
    </w:p>
    <w:p w14:paraId="535EA1BE" w14:textId="77777777" w:rsidR="00FF39BA" w:rsidRPr="003B37F4" w:rsidRDefault="00FF39BA" w:rsidP="003A66B5">
      <w:pPr>
        <w:jc w:val="center"/>
      </w:pPr>
    </w:p>
    <w:p w14:paraId="706FDC73" w14:textId="77777777" w:rsidR="00FF39BA" w:rsidRPr="003B37F4" w:rsidRDefault="00FF39BA" w:rsidP="003A66B5">
      <w:pPr>
        <w:jc w:val="center"/>
      </w:pPr>
    </w:p>
    <w:p w14:paraId="0E690D3C" w14:textId="77777777" w:rsidR="006D38C8" w:rsidRPr="003B37F4" w:rsidRDefault="006D38C8" w:rsidP="00895A78">
      <w:pPr>
        <w:pStyle w:val="Heading2"/>
      </w:pPr>
    </w:p>
    <w:p w14:paraId="6F2D682C" w14:textId="39D94AC5" w:rsidR="003850CD" w:rsidRPr="003B37F4" w:rsidRDefault="00E63504" w:rsidP="003850CD">
      <w:r w:rsidRPr="003B37F4">
        <w:rPr>
          <w:noProof/>
        </w:rPr>
        <w:drawing>
          <wp:inline distT="0" distB="0" distL="0" distR="0" wp14:anchorId="60163BEF" wp14:editId="50062DE5">
            <wp:extent cx="4857750" cy="308610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4"/>
                    <a:stretch>
                      <a:fillRect/>
                    </a:stretch>
                  </pic:blipFill>
                  <pic:spPr>
                    <a:xfrm>
                      <a:off x="0" y="0"/>
                      <a:ext cx="4857750" cy="3086100"/>
                    </a:xfrm>
                    <a:prstGeom prst="rect">
                      <a:avLst/>
                    </a:prstGeom>
                  </pic:spPr>
                </pic:pic>
              </a:graphicData>
            </a:graphic>
          </wp:inline>
        </w:drawing>
      </w:r>
    </w:p>
    <w:p w14:paraId="3C0254B9" w14:textId="77777777" w:rsidR="003850CD" w:rsidRPr="003B37F4" w:rsidRDefault="003850CD" w:rsidP="003850CD"/>
    <w:p w14:paraId="4079170C" w14:textId="77777777" w:rsidR="003850CD" w:rsidRPr="003B37F4" w:rsidRDefault="003850CD" w:rsidP="003850CD"/>
    <w:p w14:paraId="0075F909" w14:textId="77777777" w:rsidR="003850CD" w:rsidRPr="003B37F4" w:rsidRDefault="003850CD" w:rsidP="003850CD"/>
    <w:p w14:paraId="48DF814C" w14:textId="77777777" w:rsidR="003850CD" w:rsidRPr="003B37F4" w:rsidRDefault="003850CD" w:rsidP="003850CD"/>
    <w:p w14:paraId="41700ED6" w14:textId="77777777" w:rsidR="003850CD" w:rsidRPr="003B37F4" w:rsidRDefault="003850CD" w:rsidP="003850CD"/>
    <w:p w14:paraId="02F5FEF6" w14:textId="77777777" w:rsidR="003850CD" w:rsidRPr="003B37F4" w:rsidRDefault="003850CD" w:rsidP="003850CD"/>
    <w:p w14:paraId="3242E754" w14:textId="77777777" w:rsidR="003850CD" w:rsidRPr="003B37F4" w:rsidRDefault="003850CD" w:rsidP="003850CD"/>
    <w:p w14:paraId="4BB151B1" w14:textId="77777777" w:rsidR="003850CD" w:rsidRPr="003B37F4" w:rsidRDefault="003850CD" w:rsidP="003850CD"/>
    <w:p w14:paraId="6C97CB6A" w14:textId="77777777" w:rsidR="003850CD" w:rsidRPr="003B37F4" w:rsidRDefault="003850CD" w:rsidP="003850CD"/>
    <w:p w14:paraId="166392BA" w14:textId="77777777" w:rsidR="003850CD" w:rsidRPr="003B37F4" w:rsidRDefault="003850CD" w:rsidP="003850CD"/>
    <w:p w14:paraId="0500AEBC" w14:textId="77777777" w:rsidR="003850CD" w:rsidRPr="003B37F4" w:rsidRDefault="003850CD" w:rsidP="003850CD"/>
    <w:p w14:paraId="063C0884" w14:textId="77777777" w:rsidR="003850CD" w:rsidRPr="003B37F4" w:rsidRDefault="003850CD" w:rsidP="003850CD"/>
    <w:p w14:paraId="481F557E" w14:textId="77777777" w:rsidR="006D38C8" w:rsidRPr="003B37F4" w:rsidRDefault="006D38C8" w:rsidP="00895A78">
      <w:pPr>
        <w:pStyle w:val="Heading2"/>
      </w:pPr>
    </w:p>
    <w:p w14:paraId="751F9CAF" w14:textId="77777777" w:rsidR="006D38C8" w:rsidRPr="003B37F4" w:rsidRDefault="006D38C8" w:rsidP="00895A78">
      <w:pPr>
        <w:pStyle w:val="Heading2"/>
      </w:pPr>
    </w:p>
    <w:p w14:paraId="58CAE494" w14:textId="77777777" w:rsidR="006D38C8" w:rsidRPr="003B37F4" w:rsidRDefault="006D38C8" w:rsidP="00895A78">
      <w:pPr>
        <w:pStyle w:val="Heading2"/>
      </w:pPr>
    </w:p>
    <w:p w14:paraId="7AAFD71B" w14:textId="77777777" w:rsidR="00BC5D37" w:rsidRPr="003B37F4" w:rsidRDefault="00BC5D37" w:rsidP="00BC5D37">
      <w:pPr>
        <w:widowControl/>
        <w:autoSpaceDE/>
        <w:autoSpaceDN/>
        <w:adjustRightInd/>
        <w:spacing w:after="200"/>
      </w:pPr>
      <w:bookmarkStart w:id="44" w:name="_Toc284945524"/>
      <w:bookmarkStart w:id="45" w:name="_Toc315938416"/>
    </w:p>
    <w:p w14:paraId="46DC22BD" w14:textId="77777777" w:rsidR="00BC5D37" w:rsidRPr="003B37F4" w:rsidRDefault="00BC5D37" w:rsidP="00BC5D37">
      <w:pPr>
        <w:widowControl/>
        <w:autoSpaceDE/>
        <w:autoSpaceDN/>
        <w:adjustRightInd/>
        <w:spacing w:after="200"/>
      </w:pPr>
    </w:p>
    <w:p w14:paraId="22FC4EE2" w14:textId="77777777" w:rsidR="00BC5D37" w:rsidRPr="003B37F4" w:rsidRDefault="00BC5D37" w:rsidP="00BC5D37">
      <w:pPr>
        <w:widowControl/>
        <w:autoSpaceDE/>
        <w:autoSpaceDN/>
        <w:adjustRightInd/>
        <w:spacing w:after="200"/>
      </w:pPr>
    </w:p>
    <w:p w14:paraId="446B0985" w14:textId="77777777" w:rsidR="00895A78" w:rsidRPr="003B37F4" w:rsidRDefault="00895A78" w:rsidP="00BC5D37">
      <w:pPr>
        <w:pStyle w:val="Heading2"/>
      </w:pPr>
      <w:r w:rsidRPr="003B37F4">
        <w:lastRenderedPageBreak/>
        <w:t xml:space="preserve">Statement of Cash Receipts, </w:t>
      </w:r>
      <w:r w:rsidR="00215D7A" w:rsidRPr="003B37F4">
        <w:t>D</w:t>
      </w:r>
      <w:r w:rsidRPr="003B37F4">
        <w:t>isbursements, and Changes in Cash Basis Fund Balances –</w:t>
      </w:r>
      <w:bookmarkEnd w:id="44"/>
      <w:bookmarkEnd w:id="45"/>
    </w:p>
    <w:p w14:paraId="59590FDA" w14:textId="2301557D" w:rsidR="00356880" w:rsidRPr="003B37F4" w:rsidRDefault="00895A78" w:rsidP="00895A78">
      <w:pPr>
        <w:jc w:val="center"/>
      </w:pPr>
      <w:r w:rsidRPr="003B37F4">
        <w:t xml:space="preserve">For the Year Ending December 31, </w:t>
      </w:r>
      <w:r w:rsidR="00F2557F" w:rsidRPr="003B37F4">
        <w:t>20</w:t>
      </w:r>
      <w:r w:rsidR="008F3785" w:rsidRPr="003B37F4">
        <w:t>2</w:t>
      </w:r>
      <w:r w:rsidR="00E63504" w:rsidRPr="003B37F4">
        <w:t>2</w:t>
      </w:r>
    </w:p>
    <w:p w14:paraId="48C2048C" w14:textId="77777777" w:rsidR="00246244" w:rsidRPr="003B37F4" w:rsidRDefault="00246244" w:rsidP="0057545F">
      <w:pPr>
        <w:tabs>
          <w:tab w:val="left" w:pos="3204"/>
        </w:tabs>
        <w:rPr>
          <w:noProof/>
        </w:rPr>
      </w:pPr>
      <w:r w:rsidRPr="003B37F4">
        <w:t xml:space="preserve">                                                               </w:t>
      </w:r>
      <w:r w:rsidR="00CF6F08" w:rsidRPr="003B37F4">
        <w:t xml:space="preserve">       </w:t>
      </w:r>
      <w:r w:rsidRPr="003B37F4">
        <w:t xml:space="preserve">  </w:t>
      </w:r>
      <w:r w:rsidR="00356880" w:rsidRPr="003B37F4">
        <w:t xml:space="preserve"> </w:t>
      </w:r>
      <w:r w:rsidR="006D38C8" w:rsidRPr="003B37F4">
        <w:t>(Unaudited)</w:t>
      </w:r>
      <w:r w:rsidR="00356880" w:rsidRPr="003B37F4">
        <w:rPr>
          <w:noProof/>
          <w:szCs w:val="20"/>
        </w:rPr>
        <w:t xml:space="preserve"> </w:t>
      </w:r>
    </w:p>
    <w:p w14:paraId="56354D58" w14:textId="77777777" w:rsidR="00C600AD" w:rsidRPr="003B37F4" w:rsidRDefault="00C600AD" w:rsidP="0057545F">
      <w:pPr>
        <w:tabs>
          <w:tab w:val="left" w:pos="3204"/>
        </w:tabs>
        <w:rPr>
          <w:noProof/>
        </w:rPr>
      </w:pPr>
    </w:p>
    <w:p w14:paraId="55E504AE" w14:textId="359AA6A2" w:rsidR="00C600AD" w:rsidRPr="003B37F4" w:rsidRDefault="00E63504" w:rsidP="0057545F">
      <w:pPr>
        <w:tabs>
          <w:tab w:val="left" w:pos="3204"/>
        </w:tabs>
        <w:rPr>
          <w:noProof/>
        </w:rPr>
      </w:pPr>
      <w:r w:rsidRPr="003B37F4">
        <w:rPr>
          <w:noProof/>
        </w:rPr>
        <w:drawing>
          <wp:inline distT="0" distB="0" distL="0" distR="0" wp14:anchorId="08F76F98" wp14:editId="1780CC6C">
            <wp:extent cx="4981575" cy="3800475"/>
            <wp:effectExtent l="0" t="0" r="9525" b="9525"/>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5"/>
                    <a:stretch>
                      <a:fillRect/>
                    </a:stretch>
                  </pic:blipFill>
                  <pic:spPr>
                    <a:xfrm>
                      <a:off x="0" y="0"/>
                      <a:ext cx="4981575" cy="3800475"/>
                    </a:xfrm>
                    <a:prstGeom prst="rect">
                      <a:avLst/>
                    </a:prstGeom>
                  </pic:spPr>
                </pic:pic>
              </a:graphicData>
            </a:graphic>
          </wp:inline>
        </w:drawing>
      </w:r>
    </w:p>
    <w:p w14:paraId="4DF16DA3" w14:textId="77777777" w:rsidR="00697047" w:rsidRPr="003B37F4" w:rsidRDefault="00697047" w:rsidP="0057545F">
      <w:pPr>
        <w:tabs>
          <w:tab w:val="left" w:pos="3204"/>
        </w:tabs>
        <w:rPr>
          <w:noProof/>
        </w:rPr>
      </w:pPr>
    </w:p>
    <w:p w14:paraId="44E8D6B6" w14:textId="77777777" w:rsidR="00697047" w:rsidRPr="003B37F4" w:rsidRDefault="00697047" w:rsidP="0057545F">
      <w:pPr>
        <w:tabs>
          <w:tab w:val="left" w:pos="3204"/>
        </w:tabs>
        <w:rPr>
          <w:noProof/>
        </w:rPr>
      </w:pPr>
    </w:p>
    <w:p w14:paraId="3381EAEB" w14:textId="77777777" w:rsidR="00697047" w:rsidRPr="003B37F4" w:rsidRDefault="00697047" w:rsidP="0057545F">
      <w:pPr>
        <w:tabs>
          <w:tab w:val="left" w:pos="3204"/>
        </w:tabs>
        <w:rPr>
          <w:noProof/>
        </w:rPr>
      </w:pPr>
    </w:p>
    <w:p w14:paraId="1A1E1B4E" w14:textId="77777777" w:rsidR="00697047" w:rsidRPr="003B37F4" w:rsidRDefault="00697047" w:rsidP="0057545F">
      <w:pPr>
        <w:tabs>
          <w:tab w:val="left" w:pos="3204"/>
        </w:tabs>
        <w:rPr>
          <w:noProof/>
        </w:rPr>
      </w:pPr>
    </w:p>
    <w:p w14:paraId="100A4253" w14:textId="77777777" w:rsidR="00697047" w:rsidRPr="003B37F4" w:rsidRDefault="00697047" w:rsidP="0057545F">
      <w:pPr>
        <w:tabs>
          <w:tab w:val="left" w:pos="3204"/>
        </w:tabs>
        <w:rPr>
          <w:noProof/>
        </w:rPr>
      </w:pPr>
    </w:p>
    <w:p w14:paraId="749F2C76" w14:textId="77777777" w:rsidR="00697047" w:rsidRPr="003B37F4" w:rsidRDefault="00697047" w:rsidP="0057545F">
      <w:pPr>
        <w:tabs>
          <w:tab w:val="left" w:pos="3204"/>
        </w:tabs>
        <w:rPr>
          <w:noProof/>
        </w:rPr>
      </w:pPr>
    </w:p>
    <w:p w14:paraId="1979A18E" w14:textId="77777777" w:rsidR="00697047" w:rsidRPr="003B37F4" w:rsidRDefault="00697047" w:rsidP="0057545F">
      <w:pPr>
        <w:tabs>
          <w:tab w:val="left" w:pos="3204"/>
        </w:tabs>
        <w:rPr>
          <w:noProof/>
        </w:rPr>
      </w:pPr>
    </w:p>
    <w:p w14:paraId="6A3793A2" w14:textId="77777777" w:rsidR="00697047" w:rsidRPr="003B37F4" w:rsidRDefault="00697047" w:rsidP="0057545F">
      <w:pPr>
        <w:tabs>
          <w:tab w:val="left" w:pos="3204"/>
        </w:tabs>
        <w:rPr>
          <w:noProof/>
        </w:rPr>
      </w:pPr>
    </w:p>
    <w:p w14:paraId="71279FE4" w14:textId="77777777" w:rsidR="00697047" w:rsidRPr="003B37F4" w:rsidRDefault="00697047" w:rsidP="0057545F">
      <w:pPr>
        <w:tabs>
          <w:tab w:val="left" w:pos="3204"/>
        </w:tabs>
        <w:rPr>
          <w:noProof/>
        </w:rPr>
      </w:pPr>
    </w:p>
    <w:p w14:paraId="182DD934" w14:textId="77777777" w:rsidR="00697047" w:rsidRPr="003B37F4" w:rsidRDefault="00697047" w:rsidP="0057545F">
      <w:pPr>
        <w:tabs>
          <w:tab w:val="left" w:pos="3204"/>
        </w:tabs>
        <w:rPr>
          <w:noProof/>
        </w:rPr>
      </w:pPr>
    </w:p>
    <w:p w14:paraId="31F25E9B" w14:textId="77777777" w:rsidR="00697047" w:rsidRPr="003B37F4" w:rsidRDefault="00697047" w:rsidP="0057545F">
      <w:pPr>
        <w:tabs>
          <w:tab w:val="left" w:pos="3204"/>
        </w:tabs>
        <w:rPr>
          <w:noProof/>
        </w:rPr>
      </w:pPr>
    </w:p>
    <w:p w14:paraId="3A243B6C" w14:textId="77777777" w:rsidR="00697047" w:rsidRPr="003B37F4" w:rsidRDefault="00697047" w:rsidP="0057545F">
      <w:pPr>
        <w:tabs>
          <w:tab w:val="left" w:pos="3204"/>
        </w:tabs>
        <w:rPr>
          <w:noProof/>
        </w:rPr>
      </w:pPr>
    </w:p>
    <w:p w14:paraId="1B087348" w14:textId="77777777" w:rsidR="00697047" w:rsidRPr="003B37F4" w:rsidRDefault="00697047" w:rsidP="0057545F">
      <w:pPr>
        <w:tabs>
          <w:tab w:val="left" w:pos="3204"/>
        </w:tabs>
        <w:rPr>
          <w:noProof/>
        </w:rPr>
      </w:pPr>
    </w:p>
    <w:p w14:paraId="2E3B4ADA" w14:textId="77777777" w:rsidR="00697047" w:rsidRPr="003B37F4" w:rsidRDefault="00697047" w:rsidP="0057545F">
      <w:pPr>
        <w:tabs>
          <w:tab w:val="left" w:pos="3204"/>
        </w:tabs>
        <w:rPr>
          <w:noProof/>
        </w:rPr>
      </w:pPr>
    </w:p>
    <w:p w14:paraId="33B361CA" w14:textId="77777777" w:rsidR="00697047" w:rsidRPr="003B37F4" w:rsidRDefault="00697047" w:rsidP="0057545F">
      <w:pPr>
        <w:tabs>
          <w:tab w:val="left" w:pos="3204"/>
        </w:tabs>
        <w:rPr>
          <w:noProof/>
        </w:rPr>
      </w:pPr>
    </w:p>
    <w:p w14:paraId="03BB5F00" w14:textId="77777777" w:rsidR="00697047" w:rsidRPr="003B37F4" w:rsidRDefault="00697047" w:rsidP="0057545F">
      <w:pPr>
        <w:tabs>
          <w:tab w:val="left" w:pos="3204"/>
        </w:tabs>
        <w:rPr>
          <w:noProof/>
        </w:rPr>
      </w:pPr>
    </w:p>
    <w:p w14:paraId="46382398" w14:textId="77777777" w:rsidR="00697047" w:rsidRPr="003B37F4" w:rsidRDefault="00697047" w:rsidP="0057545F">
      <w:pPr>
        <w:tabs>
          <w:tab w:val="left" w:pos="3204"/>
        </w:tabs>
        <w:rPr>
          <w:noProof/>
        </w:rPr>
      </w:pPr>
    </w:p>
    <w:p w14:paraId="72BA5894" w14:textId="77777777" w:rsidR="00697047" w:rsidRPr="003B37F4" w:rsidRDefault="00697047" w:rsidP="0057545F">
      <w:pPr>
        <w:tabs>
          <w:tab w:val="left" w:pos="3204"/>
        </w:tabs>
        <w:rPr>
          <w:noProof/>
        </w:rPr>
      </w:pPr>
    </w:p>
    <w:p w14:paraId="71E52837" w14:textId="77777777" w:rsidR="00697047" w:rsidRPr="003B37F4" w:rsidRDefault="00697047" w:rsidP="0057545F">
      <w:pPr>
        <w:tabs>
          <w:tab w:val="left" w:pos="3204"/>
        </w:tabs>
        <w:rPr>
          <w:noProof/>
        </w:rPr>
      </w:pPr>
    </w:p>
    <w:p w14:paraId="7F44A8F5" w14:textId="77777777" w:rsidR="003A1489" w:rsidRPr="003B37F4" w:rsidRDefault="003A1489" w:rsidP="0057545F">
      <w:pPr>
        <w:tabs>
          <w:tab w:val="left" w:pos="3204"/>
        </w:tabs>
        <w:rPr>
          <w:noProof/>
        </w:rPr>
      </w:pPr>
    </w:p>
    <w:p w14:paraId="0812BD43" w14:textId="77777777" w:rsidR="00697047" w:rsidRPr="003B37F4" w:rsidRDefault="00697047" w:rsidP="0057545F">
      <w:pPr>
        <w:tabs>
          <w:tab w:val="left" w:pos="3204"/>
        </w:tabs>
        <w:rPr>
          <w:noProof/>
        </w:rPr>
      </w:pPr>
    </w:p>
    <w:p w14:paraId="51F3695D" w14:textId="77777777" w:rsidR="00697047" w:rsidRPr="003B37F4" w:rsidRDefault="00697047" w:rsidP="0057545F">
      <w:pPr>
        <w:tabs>
          <w:tab w:val="left" w:pos="3204"/>
        </w:tabs>
        <w:rPr>
          <w:noProof/>
        </w:rPr>
      </w:pPr>
    </w:p>
    <w:p w14:paraId="021DED34" w14:textId="77777777" w:rsidR="00697047" w:rsidRPr="003B37F4" w:rsidRDefault="00697047" w:rsidP="0057545F">
      <w:pPr>
        <w:tabs>
          <w:tab w:val="left" w:pos="3204"/>
        </w:tabs>
        <w:rPr>
          <w:noProof/>
        </w:rPr>
      </w:pPr>
    </w:p>
    <w:p w14:paraId="7DE96456" w14:textId="77777777" w:rsidR="00697047" w:rsidRPr="003B37F4" w:rsidRDefault="00697047" w:rsidP="0057545F">
      <w:pPr>
        <w:tabs>
          <w:tab w:val="left" w:pos="3204"/>
        </w:tabs>
        <w:rPr>
          <w:noProof/>
        </w:rPr>
      </w:pPr>
    </w:p>
    <w:p w14:paraId="2BB73FFB" w14:textId="49F7CBE5" w:rsidR="004A1899" w:rsidRPr="003B37F4" w:rsidRDefault="00E63504" w:rsidP="00895366">
      <w:pPr>
        <w:tabs>
          <w:tab w:val="left" w:pos="3204"/>
        </w:tabs>
        <w:rPr>
          <w:noProof/>
        </w:rPr>
      </w:pPr>
      <w:r w:rsidRPr="003B37F4">
        <w:rPr>
          <w:noProof/>
        </w:rPr>
        <w:lastRenderedPageBreak/>
        <w:drawing>
          <wp:inline distT="0" distB="0" distL="0" distR="0" wp14:anchorId="4255E28A" wp14:editId="73E09382">
            <wp:extent cx="5571490" cy="8229600"/>
            <wp:effectExtent l="0" t="0" r="0" b="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16"/>
                    <a:stretch>
                      <a:fillRect/>
                    </a:stretch>
                  </pic:blipFill>
                  <pic:spPr>
                    <a:xfrm>
                      <a:off x="0" y="0"/>
                      <a:ext cx="5571490" cy="8229600"/>
                    </a:xfrm>
                    <a:prstGeom prst="rect">
                      <a:avLst/>
                    </a:prstGeom>
                  </pic:spPr>
                </pic:pic>
              </a:graphicData>
            </a:graphic>
          </wp:inline>
        </w:drawing>
      </w:r>
    </w:p>
    <w:p w14:paraId="301E4844" w14:textId="77777777" w:rsidR="00BC5D37" w:rsidRPr="003B37F4" w:rsidRDefault="00C600AD" w:rsidP="00BC5D37">
      <w:pPr>
        <w:pStyle w:val="Heading2"/>
      </w:pPr>
      <w:r w:rsidRPr="003B37F4">
        <w:lastRenderedPageBreak/>
        <w:t>S</w:t>
      </w:r>
      <w:r w:rsidR="00BC5D37" w:rsidRPr="003B37F4">
        <w:t>tatement of Receipts, Disbursements</w:t>
      </w:r>
    </w:p>
    <w:p w14:paraId="14C72881" w14:textId="77777777" w:rsidR="00BC5D37" w:rsidRPr="003B37F4" w:rsidRDefault="00BC5D37" w:rsidP="00BC5D37">
      <w:pPr>
        <w:pStyle w:val="Heading3"/>
      </w:pPr>
      <w:bookmarkStart w:id="46" w:name="_Toc284945526"/>
      <w:bookmarkStart w:id="47" w:name="_Toc315938418"/>
      <w:r w:rsidRPr="003B37F4">
        <w:t>General Revenue Fund</w:t>
      </w:r>
      <w:bookmarkEnd w:id="46"/>
      <w:bookmarkEnd w:id="47"/>
    </w:p>
    <w:p w14:paraId="3769A180" w14:textId="06AB06A0" w:rsidR="00BC5D37" w:rsidRPr="003B37F4" w:rsidRDefault="00BC5D37" w:rsidP="00BC5D37">
      <w:pPr>
        <w:jc w:val="center"/>
      </w:pPr>
      <w:r w:rsidRPr="003B37F4">
        <w:t>For t</w:t>
      </w:r>
      <w:r w:rsidR="00E4774E" w:rsidRPr="003B37F4">
        <w:t>he Year Endi</w:t>
      </w:r>
      <w:r w:rsidR="007C1480" w:rsidRPr="003B37F4">
        <w:t>ng December 31</w:t>
      </w:r>
      <w:r w:rsidR="00F2557F" w:rsidRPr="003B37F4">
        <w:t>, 20</w:t>
      </w:r>
      <w:r w:rsidR="00895366" w:rsidRPr="003B37F4">
        <w:t>2</w:t>
      </w:r>
      <w:r w:rsidR="00E63504" w:rsidRPr="003B37F4">
        <w:t>2</w:t>
      </w:r>
    </w:p>
    <w:p w14:paraId="6A656DA9" w14:textId="77777777" w:rsidR="00895A78" w:rsidRPr="003B37F4" w:rsidRDefault="00BC5D37" w:rsidP="000E6874">
      <w:pPr>
        <w:jc w:val="center"/>
      </w:pPr>
      <w:r w:rsidRPr="003B37F4">
        <w:t>(Unaudited)</w:t>
      </w:r>
      <w:r w:rsidR="00DC45BE" w:rsidRPr="003B37F4">
        <w:t xml:space="preserve"> </w:t>
      </w:r>
    </w:p>
    <w:p w14:paraId="22D6CE3A" w14:textId="653DF838" w:rsidR="007C1480" w:rsidRPr="003B37F4" w:rsidRDefault="00E63504" w:rsidP="00E63504">
      <w:pPr>
        <w:jc w:val="center"/>
        <w:rPr>
          <w:noProof/>
        </w:rPr>
      </w:pPr>
      <w:r w:rsidRPr="003B37F4">
        <w:rPr>
          <w:noProof/>
        </w:rPr>
        <w:drawing>
          <wp:inline distT="0" distB="0" distL="0" distR="0" wp14:anchorId="05F2E709" wp14:editId="78653C12">
            <wp:extent cx="5553075" cy="7338060"/>
            <wp:effectExtent l="0" t="0" r="9525" b="0"/>
            <wp:docPr id="13" name="Picture 13"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able&#10;&#10;Description automatically generated"/>
                    <pic:cNvPicPr/>
                  </pic:nvPicPr>
                  <pic:blipFill>
                    <a:blip r:embed="rId17"/>
                    <a:stretch>
                      <a:fillRect/>
                    </a:stretch>
                  </pic:blipFill>
                  <pic:spPr>
                    <a:xfrm>
                      <a:off x="0" y="0"/>
                      <a:ext cx="5553075" cy="7338060"/>
                    </a:xfrm>
                    <a:prstGeom prst="rect">
                      <a:avLst/>
                    </a:prstGeom>
                  </pic:spPr>
                </pic:pic>
              </a:graphicData>
            </a:graphic>
          </wp:inline>
        </w:drawing>
      </w:r>
    </w:p>
    <w:p w14:paraId="738A06F8" w14:textId="6D088AAE" w:rsidR="007D1AB8" w:rsidRPr="003B37F4" w:rsidRDefault="00E63504" w:rsidP="001C42AF">
      <w:pPr>
        <w:jc w:val="center"/>
        <w:rPr>
          <w:noProof/>
        </w:rPr>
      </w:pPr>
      <w:bookmarkStart w:id="48" w:name="_Toc284945531"/>
      <w:bookmarkStart w:id="49" w:name="_Toc315938425"/>
      <w:r w:rsidRPr="003B37F4">
        <w:rPr>
          <w:noProof/>
        </w:rPr>
        <w:lastRenderedPageBreak/>
        <w:drawing>
          <wp:inline distT="0" distB="0" distL="0" distR="0" wp14:anchorId="7BBD285F" wp14:editId="22C2CBC2">
            <wp:extent cx="5506720" cy="8229600"/>
            <wp:effectExtent l="0" t="0" r="0" b="0"/>
            <wp:docPr id="15" name="Picture 15"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application, table&#10;&#10;Description automatically generated"/>
                    <pic:cNvPicPr/>
                  </pic:nvPicPr>
                  <pic:blipFill>
                    <a:blip r:embed="rId18"/>
                    <a:stretch>
                      <a:fillRect/>
                    </a:stretch>
                  </pic:blipFill>
                  <pic:spPr>
                    <a:xfrm>
                      <a:off x="0" y="0"/>
                      <a:ext cx="5506720" cy="8229600"/>
                    </a:xfrm>
                    <a:prstGeom prst="rect">
                      <a:avLst/>
                    </a:prstGeom>
                  </pic:spPr>
                </pic:pic>
              </a:graphicData>
            </a:graphic>
          </wp:inline>
        </w:drawing>
      </w:r>
    </w:p>
    <w:p w14:paraId="113A3C47" w14:textId="77777777" w:rsidR="004A3D76" w:rsidRPr="003B37F4" w:rsidRDefault="00B61AEF" w:rsidP="000106AF">
      <w:pPr>
        <w:widowControl/>
        <w:autoSpaceDE/>
        <w:autoSpaceDN/>
        <w:adjustRightInd/>
        <w:spacing w:after="200"/>
        <w:rPr>
          <w:rFonts w:asciiTheme="majorHAnsi" w:eastAsiaTheme="majorEastAsia" w:hAnsiTheme="majorHAnsi" w:cstheme="majorBidi"/>
          <w:b/>
          <w:bCs/>
          <w:caps/>
          <w:color w:val="365F91" w:themeColor="accent1" w:themeShade="BF"/>
          <w:sz w:val="24"/>
        </w:rPr>
      </w:pPr>
      <w:r w:rsidRPr="003B37F4">
        <w:rPr>
          <w:caps/>
          <w:sz w:val="24"/>
        </w:rPr>
        <w:lastRenderedPageBreak/>
        <w:t xml:space="preserve">Notes to the </w:t>
      </w:r>
      <w:r w:rsidR="00CB12C8" w:rsidRPr="003B37F4">
        <w:rPr>
          <w:caps/>
          <w:sz w:val="24"/>
        </w:rPr>
        <w:t>Financial</w:t>
      </w:r>
      <w:r w:rsidRPr="003B37F4">
        <w:rPr>
          <w:caps/>
          <w:sz w:val="24"/>
        </w:rPr>
        <w:t xml:space="preserve"> Statements</w:t>
      </w:r>
      <w:bookmarkEnd w:id="48"/>
      <w:bookmarkEnd w:id="49"/>
    </w:p>
    <w:p w14:paraId="02271DBA" w14:textId="3479ABE8" w:rsidR="00B61AEF" w:rsidRPr="003B37F4" w:rsidRDefault="00D040D1" w:rsidP="00BB2FF1">
      <w:pPr>
        <w:pStyle w:val="Subtitle"/>
      </w:pPr>
      <w:r w:rsidRPr="003B37F4">
        <w:t xml:space="preserve">FOR THE YEAR ENDED DECEMBER 31, </w:t>
      </w:r>
      <w:r w:rsidR="005A3182" w:rsidRPr="003B37F4">
        <w:t>20</w:t>
      </w:r>
      <w:r w:rsidR="001C42AF" w:rsidRPr="003B37F4">
        <w:t>2</w:t>
      </w:r>
      <w:r w:rsidR="00E63504" w:rsidRPr="003B37F4">
        <w:t>2</w:t>
      </w:r>
      <w:r w:rsidRPr="003B37F4">
        <w:t xml:space="preserve"> (Unaudited)</w:t>
      </w:r>
    </w:p>
    <w:p w14:paraId="31AC294F" w14:textId="77777777" w:rsidR="007916FF" w:rsidRPr="003B37F4" w:rsidRDefault="00B61AEF" w:rsidP="00B61AEF">
      <w:pPr>
        <w:pStyle w:val="Heading2"/>
      </w:pPr>
      <w:bookmarkStart w:id="50" w:name="_Toc284945532"/>
      <w:bookmarkStart w:id="51" w:name="_Toc315938426"/>
      <w:r w:rsidRPr="003B37F4">
        <w:t xml:space="preserve">1.     </w:t>
      </w:r>
      <w:r w:rsidR="007916FF" w:rsidRPr="003B37F4">
        <w:t>REPORTING ENTITY</w:t>
      </w:r>
      <w:bookmarkEnd w:id="50"/>
      <w:bookmarkEnd w:id="51"/>
    </w:p>
    <w:p w14:paraId="34B99325" w14:textId="77777777" w:rsidR="007916FF" w:rsidRPr="003B37F4" w:rsidRDefault="007916FF" w:rsidP="007916FF">
      <w:pPr>
        <w:tabs>
          <w:tab w:val="left" w:pos="547"/>
          <w:tab w:val="left" w:pos="907"/>
          <w:tab w:val="left" w:pos="1440"/>
          <w:tab w:val="left" w:pos="1987"/>
          <w:tab w:val="left" w:pos="2347"/>
        </w:tabs>
        <w:jc w:val="both"/>
        <w:rPr>
          <w:rFonts w:cs="Arial"/>
          <w:szCs w:val="20"/>
        </w:rPr>
      </w:pPr>
    </w:p>
    <w:p w14:paraId="4E4EBBF2" w14:textId="77777777" w:rsidR="007916FF" w:rsidRPr="003B37F4" w:rsidRDefault="007916FF" w:rsidP="007916FF">
      <w:pPr>
        <w:pStyle w:val="PlainText"/>
        <w:tabs>
          <w:tab w:val="left" w:pos="547"/>
          <w:tab w:val="left" w:pos="907"/>
          <w:tab w:val="left" w:pos="1440"/>
          <w:tab w:val="left" w:pos="1987"/>
          <w:tab w:val="left" w:pos="2347"/>
        </w:tabs>
        <w:ind w:left="540"/>
        <w:jc w:val="both"/>
        <w:rPr>
          <w:rFonts w:ascii="Arial" w:hAnsi="Arial" w:cs="Arial"/>
        </w:rPr>
      </w:pPr>
      <w:r w:rsidRPr="003B37F4">
        <w:rPr>
          <w:rFonts w:ascii="Arial" w:hAnsi="Arial" w:cs="Arial"/>
        </w:rPr>
        <w:t>The constitution and laws of the State of Ohio establish the rights and privileges of the Champaign Health District, (the Health District) as a body corporate and politic.</w:t>
      </w:r>
    </w:p>
    <w:p w14:paraId="3D8D1406" w14:textId="77777777" w:rsidR="007916FF" w:rsidRPr="003B37F4" w:rsidRDefault="007916FF" w:rsidP="007916FF">
      <w:pPr>
        <w:pStyle w:val="PlainText"/>
        <w:tabs>
          <w:tab w:val="left" w:pos="547"/>
          <w:tab w:val="left" w:pos="907"/>
          <w:tab w:val="left" w:pos="1440"/>
          <w:tab w:val="left" w:pos="1987"/>
          <w:tab w:val="left" w:pos="2347"/>
        </w:tabs>
        <w:jc w:val="both"/>
        <w:rPr>
          <w:rFonts w:ascii="Arial" w:hAnsi="Arial" w:cs="Arial"/>
        </w:rPr>
      </w:pPr>
    </w:p>
    <w:p w14:paraId="6845ED3D" w14:textId="77777777" w:rsidR="007916FF" w:rsidRPr="003B37F4" w:rsidRDefault="007916FF" w:rsidP="007916FF">
      <w:pPr>
        <w:tabs>
          <w:tab w:val="left" w:pos="547"/>
          <w:tab w:val="left" w:pos="907"/>
          <w:tab w:val="left" w:pos="1440"/>
          <w:tab w:val="left" w:pos="1987"/>
          <w:tab w:val="left" w:pos="2347"/>
        </w:tabs>
        <w:ind w:left="540"/>
        <w:jc w:val="both"/>
        <w:rPr>
          <w:rFonts w:cs="Arial"/>
          <w:szCs w:val="20"/>
        </w:rPr>
      </w:pPr>
      <w:r w:rsidRPr="003B37F4">
        <w:rPr>
          <w:rFonts w:cs="Arial"/>
          <w:szCs w:val="20"/>
        </w:rPr>
        <w:t>A five-member Board of Health appointed by the District Advisory Council governs the Health District.  The Board appoints a health commissioner and all employees of the Health District.</w:t>
      </w:r>
    </w:p>
    <w:p w14:paraId="5DAB2CCD" w14:textId="77777777" w:rsidR="007916FF" w:rsidRPr="003B37F4" w:rsidRDefault="007916FF" w:rsidP="007916FF">
      <w:pPr>
        <w:pStyle w:val="PlainText"/>
        <w:tabs>
          <w:tab w:val="left" w:pos="547"/>
          <w:tab w:val="left" w:pos="907"/>
          <w:tab w:val="left" w:pos="1440"/>
          <w:tab w:val="left" w:pos="1987"/>
          <w:tab w:val="left" w:pos="2347"/>
        </w:tabs>
        <w:ind w:left="540"/>
        <w:jc w:val="both"/>
        <w:rPr>
          <w:rFonts w:ascii="Arial" w:hAnsi="Arial" w:cs="Arial"/>
        </w:rPr>
      </w:pPr>
    </w:p>
    <w:p w14:paraId="0AE2A70B" w14:textId="77777777" w:rsidR="007916FF" w:rsidRPr="003B37F4" w:rsidRDefault="007916FF" w:rsidP="007916FF">
      <w:pPr>
        <w:tabs>
          <w:tab w:val="left" w:pos="547"/>
          <w:tab w:val="left" w:pos="907"/>
          <w:tab w:val="left" w:pos="1440"/>
          <w:tab w:val="left" w:pos="1987"/>
          <w:tab w:val="left" w:pos="2347"/>
        </w:tabs>
        <w:ind w:left="540"/>
        <w:jc w:val="both"/>
        <w:rPr>
          <w:rFonts w:cs="Arial"/>
          <w:szCs w:val="20"/>
        </w:rPr>
      </w:pPr>
      <w:r w:rsidRPr="003B37F4">
        <w:rPr>
          <w:rFonts w:cs="Arial"/>
          <w:szCs w:val="20"/>
        </w:rPr>
        <w:t>The reporting entity is composed of the primary government, component units, and other organizations that are included to ensure the financial statements of the Health District are not misleading.</w:t>
      </w:r>
    </w:p>
    <w:p w14:paraId="342EFA0F" w14:textId="77777777" w:rsidR="007916FF" w:rsidRPr="003B37F4" w:rsidRDefault="007916FF" w:rsidP="00B61AEF">
      <w:pPr>
        <w:pStyle w:val="Heading3"/>
      </w:pPr>
      <w:r w:rsidRPr="003B37F4">
        <w:tab/>
      </w:r>
      <w:bookmarkStart w:id="52" w:name="_Toc284945533"/>
      <w:bookmarkStart w:id="53" w:name="_Toc315938427"/>
      <w:r w:rsidRPr="003B37F4">
        <w:t>A.</w:t>
      </w:r>
      <w:r w:rsidRPr="003B37F4">
        <w:tab/>
        <w:t>Primary Government</w:t>
      </w:r>
      <w:bookmarkEnd w:id="52"/>
      <w:bookmarkEnd w:id="53"/>
    </w:p>
    <w:p w14:paraId="093BD99C" w14:textId="77777777" w:rsidR="007916FF" w:rsidRPr="003B37F4" w:rsidRDefault="007916FF" w:rsidP="007916FF">
      <w:pPr>
        <w:tabs>
          <w:tab w:val="left" w:pos="547"/>
          <w:tab w:val="left" w:pos="907"/>
          <w:tab w:val="left" w:pos="1440"/>
          <w:tab w:val="left" w:pos="1987"/>
          <w:tab w:val="left" w:pos="2347"/>
        </w:tabs>
        <w:spacing w:line="216" w:lineRule="auto"/>
        <w:jc w:val="both"/>
        <w:rPr>
          <w:rFonts w:cs="Arial"/>
          <w:szCs w:val="20"/>
          <w:u w:val="single"/>
        </w:rPr>
      </w:pPr>
    </w:p>
    <w:p w14:paraId="5817E613" w14:textId="77777777" w:rsidR="007916FF" w:rsidRPr="003B37F4" w:rsidRDefault="007916FF" w:rsidP="007916FF">
      <w:pPr>
        <w:tabs>
          <w:tab w:val="left" w:pos="547"/>
          <w:tab w:val="left" w:pos="907"/>
          <w:tab w:val="left" w:pos="1440"/>
          <w:tab w:val="left" w:pos="1987"/>
          <w:tab w:val="left" w:pos="2347"/>
        </w:tabs>
        <w:ind w:left="900"/>
        <w:jc w:val="both"/>
        <w:rPr>
          <w:rFonts w:cs="Arial"/>
          <w:szCs w:val="20"/>
        </w:rPr>
      </w:pPr>
      <w:r w:rsidRPr="003B37F4">
        <w:rPr>
          <w:rFonts w:cs="Arial"/>
          <w:szCs w:val="20"/>
        </w:rPr>
        <w:t xml:space="preserve">The primary government consists of all funds, departments, </w:t>
      </w:r>
      <w:proofErr w:type="gramStart"/>
      <w:r w:rsidRPr="003B37F4">
        <w:rPr>
          <w:rFonts w:cs="Arial"/>
          <w:szCs w:val="20"/>
        </w:rPr>
        <w:t>boards</w:t>
      </w:r>
      <w:proofErr w:type="gramEnd"/>
      <w:r w:rsidRPr="003B37F4">
        <w:rPr>
          <w:rFonts w:cs="Arial"/>
          <w:szCs w:val="20"/>
        </w:rPr>
        <w:t xml:space="preserve"> and agencies that are not legally separate from the Health District.  The Health District’s services include </w:t>
      </w:r>
      <w:r w:rsidR="00215D7A" w:rsidRPr="003B37F4">
        <w:rPr>
          <w:rFonts w:cs="Arial"/>
          <w:szCs w:val="20"/>
        </w:rPr>
        <w:t xml:space="preserve">vital statistics, </w:t>
      </w:r>
      <w:r w:rsidRPr="003B37F4">
        <w:rPr>
          <w:rFonts w:cs="Arial"/>
          <w:szCs w:val="20"/>
        </w:rPr>
        <w:t>prevention and control of disease, immunization clinics, public health nursing services, inspections, the issuance of health-related licenses and permits, sanitation, abatement and removal of nuisances, and emergency response planning.</w:t>
      </w:r>
    </w:p>
    <w:p w14:paraId="27E24DC8" w14:textId="77777777" w:rsidR="007916FF" w:rsidRPr="003B37F4" w:rsidRDefault="007916FF" w:rsidP="00B61AEF">
      <w:pPr>
        <w:pStyle w:val="Heading3"/>
      </w:pPr>
      <w:r w:rsidRPr="003B37F4">
        <w:tab/>
      </w:r>
      <w:bookmarkStart w:id="54" w:name="_Toc284945534"/>
      <w:bookmarkStart w:id="55" w:name="_Toc315938428"/>
      <w:r w:rsidRPr="003B37F4">
        <w:t>B.</w:t>
      </w:r>
      <w:r w:rsidRPr="003B37F4">
        <w:tab/>
        <w:t>Component Units</w:t>
      </w:r>
      <w:bookmarkEnd w:id="54"/>
      <w:bookmarkEnd w:id="55"/>
    </w:p>
    <w:p w14:paraId="2FCEB432" w14:textId="77777777" w:rsidR="007916FF" w:rsidRPr="003B37F4" w:rsidRDefault="007916FF" w:rsidP="007916FF">
      <w:pPr>
        <w:tabs>
          <w:tab w:val="left" w:pos="547"/>
          <w:tab w:val="left" w:pos="907"/>
          <w:tab w:val="left" w:pos="1440"/>
          <w:tab w:val="left" w:pos="1987"/>
          <w:tab w:val="left" w:pos="2347"/>
        </w:tabs>
        <w:spacing w:line="216" w:lineRule="auto"/>
        <w:jc w:val="both"/>
        <w:rPr>
          <w:rFonts w:cs="Arial"/>
          <w:szCs w:val="20"/>
        </w:rPr>
      </w:pPr>
    </w:p>
    <w:p w14:paraId="27E3A108" w14:textId="77777777" w:rsidR="007916FF" w:rsidRPr="003B37F4" w:rsidRDefault="007916FF" w:rsidP="007916FF">
      <w:pPr>
        <w:tabs>
          <w:tab w:val="left" w:pos="547"/>
          <w:tab w:val="left" w:pos="907"/>
          <w:tab w:val="left" w:pos="1440"/>
          <w:tab w:val="left" w:pos="1987"/>
          <w:tab w:val="left" w:pos="2347"/>
        </w:tabs>
        <w:ind w:left="900"/>
        <w:jc w:val="both"/>
        <w:rPr>
          <w:rFonts w:cs="Arial"/>
          <w:szCs w:val="20"/>
        </w:rPr>
      </w:pPr>
      <w:r w:rsidRPr="003B37F4">
        <w:rPr>
          <w:rFonts w:cs="Arial"/>
          <w:szCs w:val="20"/>
        </w:rPr>
        <w:t>Component units are legally separate organizations for which the Health District is financially accountable.  The Health District is financially accountable for an organization if the Health District appoints a voting majority of the organization’s governing board and (1) the Health District is able to significantly influence the programs or services performed or provided by the organization; or (2) the Health District is legally entitled to or can otherwise access the organization’s resources; or the Health District is legally obligated or has otherwise assumed the responsibility to finance the deficits of, or provide support to, the organization.  Component units also include legally separate, tax-exempt entities whose resources are for the direct benefit of the Health District, are accessible to the Health District and are significant in amount to the Health District.  The Health District includes no component units.</w:t>
      </w:r>
    </w:p>
    <w:p w14:paraId="62A57297" w14:textId="77777777" w:rsidR="007916FF" w:rsidRPr="003B37F4" w:rsidRDefault="007916FF" w:rsidP="007916FF">
      <w:pPr>
        <w:tabs>
          <w:tab w:val="left" w:pos="547"/>
          <w:tab w:val="left" w:pos="907"/>
          <w:tab w:val="left" w:pos="1440"/>
          <w:tab w:val="left" w:pos="1987"/>
          <w:tab w:val="left" w:pos="2347"/>
        </w:tabs>
        <w:ind w:left="900"/>
        <w:jc w:val="both"/>
        <w:rPr>
          <w:rFonts w:cs="Arial"/>
          <w:szCs w:val="20"/>
        </w:rPr>
      </w:pPr>
    </w:p>
    <w:p w14:paraId="0029FE06" w14:textId="77777777" w:rsidR="007916FF" w:rsidRPr="003B37F4" w:rsidRDefault="007916FF" w:rsidP="007916FF">
      <w:pPr>
        <w:pStyle w:val="PlainText"/>
        <w:tabs>
          <w:tab w:val="left" w:pos="547"/>
          <w:tab w:val="left" w:pos="907"/>
          <w:tab w:val="left" w:pos="1440"/>
          <w:tab w:val="left" w:pos="1987"/>
          <w:tab w:val="left" w:pos="2347"/>
        </w:tabs>
        <w:ind w:left="900"/>
        <w:jc w:val="both"/>
        <w:rPr>
          <w:rFonts w:ascii="Arial" w:hAnsi="Arial" w:cs="Arial"/>
        </w:rPr>
      </w:pPr>
      <w:r w:rsidRPr="003B37F4">
        <w:rPr>
          <w:rFonts w:ascii="Arial" w:hAnsi="Arial" w:cs="Arial"/>
        </w:rPr>
        <w:t xml:space="preserve">The Health District’s management believes these financial statements present all activities for which the </w:t>
      </w:r>
      <w:proofErr w:type="gramStart"/>
      <w:r w:rsidRPr="003B37F4">
        <w:rPr>
          <w:rFonts w:ascii="Arial" w:hAnsi="Arial" w:cs="Arial"/>
        </w:rPr>
        <w:t>District</w:t>
      </w:r>
      <w:proofErr w:type="gramEnd"/>
      <w:r w:rsidRPr="003B37F4">
        <w:rPr>
          <w:rFonts w:ascii="Arial" w:hAnsi="Arial" w:cs="Arial"/>
        </w:rPr>
        <w:t xml:space="preserve"> is financially responsible.</w:t>
      </w:r>
    </w:p>
    <w:p w14:paraId="6602E69F" w14:textId="77777777" w:rsidR="007916FF" w:rsidRPr="003B37F4" w:rsidRDefault="007916FF" w:rsidP="00B61AEF">
      <w:pPr>
        <w:pStyle w:val="Heading2"/>
      </w:pPr>
      <w:r w:rsidRPr="003B37F4">
        <w:t xml:space="preserve">  </w:t>
      </w:r>
      <w:bookmarkStart w:id="56" w:name="_Toc284945535"/>
      <w:bookmarkStart w:id="57" w:name="_Toc315938429"/>
      <w:r w:rsidRPr="003B37F4">
        <w:t>2.</w:t>
      </w:r>
      <w:r w:rsidRPr="003B37F4">
        <w:tab/>
        <w:t>SUMMARY OF SIGNIFICANT ACCOUNTING POLICIES</w:t>
      </w:r>
      <w:bookmarkEnd w:id="56"/>
      <w:bookmarkEnd w:id="57"/>
    </w:p>
    <w:p w14:paraId="185655AE" w14:textId="77777777" w:rsidR="007916FF" w:rsidRPr="003B37F4" w:rsidRDefault="007916FF" w:rsidP="007916FF">
      <w:pPr>
        <w:tabs>
          <w:tab w:val="left" w:pos="547"/>
          <w:tab w:val="left" w:pos="907"/>
          <w:tab w:val="left" w:pos="1440"/>
          <w:tab w:val="left" w:pos="1987"/>
          <w:tab w:val="left" w:pos="2347"/>
        </w:tabs>
        <w:spacing w:line="216" w:lineRule="auto"/>
        <w:jc w:val="both"/>
        <w:rPr>
          <w:rFonts w:cs="Arial"/>
          <w:szCs w:val="20"/>
        </w:rPr>
      </w:pPr>
    </w:p>
    <w:p w14:paraId="4321B600" w14:textId="77777777" w:rsidR="007916FF" w:rsidRPr="003B37F4" w:rsidRDefault="007916FF" w:rsidP="007916FF">
      <w:pPr>
        <w:tabs>
          <w:tab w:val="left" w:pos="547"/>
          <w:tab w:val="left" w:pos="907"/>
          <w:tab w:val="left" w:pos="1440"/>
          <w:tab w:val="left" w:pos="1987"/>
          <w:tab w:val="left" w:pos="2347"/>
        </w:tabs>
        <w:ind w:left="540"/>
        <w:jc w:val="both"/>
        <w:rPr>
          <w:rFonts w:cs="Arial"/>
          <w:szCs w:val="20"/>
        </w:rPr>
      </w:pPr>
      <w:r w:rsidRPr="003B37F4">
        <w:rPr>
          <w:rFonts w:cs="Arial"/>
          <w:szCs w:val="20"/>
        </w:rPr>
        <w:t>As discussed further in Note 2.C, these financial statements are presented on a cash basis of accounting.  This cash basis of accounting differs from accounting principles generally accepted in the United States of America (GAAP).  Generally accepted accounting principles include all relevant Governmental Accounting Standards Board (GASB) pronouncements, which have been applied to the extent they are applicable to the cash basis of accounting.  Following are the more significant of the Health District’s accounting policies.</w:t>
      </w:r>
    </w:p>
    <w:p w14:paraId="7F4FE3E8" w14:textId="77777777" w:rsidR="007916FF" w:rsidRPr="003B37F4" w:rsidRDefault="007916FF" w:rsidP="00B61AEF">
      <w:pPr>
        <w:pStyle w:val="Heading3"/>
      </w:pPr>
      <w:r w:rsidRPr="003B37F4">
        <w:tab/>
      </w:r>
      <w:bookmarkStart w:id="58" w:name="_Toc284945536"/>
      <w:bookmarkStart w:id="59" w:name="_Toc315938430"/>
      <w:r w:rsidRPr="003B37F4">
        <w:t>A.</w:t>
      </w:r>
      <w:r w:rsidRPr="003B37F4">
        <w:tab/>
        <w:t>Basis of Presentation</w:t>
      </w:r>
      <w:bookmarkEnd w:id="58"/>
      <w:bookmarkEnd w:id="59"/>
    </w:p>
    <w:p w14:paraId="36E7272E" w14:textId="77777777" w:rsidR="007916FF" w:rsidRPr="003B37F4" w:rsidRDefault="007916FF" w:rsidP="007916FF">
      <w:pPr>
        <w:tabs>
          <w:tab w:val="left" w:pos="547"/>
          <w:tab w:val="left" w:pos="907"/>
          <w:tab w:val="left" w:pos="1440"/>
          <w:tab w:val="left" w:pos="1987"/>
          <w:tab w:val="left" w:pos="2347"/>
        </w:tabs>
        <w:spacing w:line="216" w:lineRule="auto"/>
        <w:jc w:val="both"/>
        <w:rPr>
          <w:rFonts w:cs="Arial"/>
          <w:szCs w:val="20"/>
        </w:rPr>
      </w:pPr>
    </w:p>
    <w:p w14:paraId="5CD6D8C4" w14:textId="77777777" w:rsidR="007916FF" w:rsidRPr="003B37F4" w:rsidRDefault="007916FF" w:rsidP="007916FF">
      <w:pPr>
        <w:tabs>
          <w:tab w:val="left" w:pos="547"/>
          <w:tab w:val="left" w:pos="907"/>
          <w:tab w:val="left" w:pos="1440"/>
          <w:tab w:val="left" w:pos="1987"/>
          <w:tab w:val="left" w:pos="2347"/>
        </w:tabs>
        <w:ind w:left="900"/>
        <w:jc w:val="both"/>
        <w:rPr>
          <w:rFonts w:cs="Arial"/>
          <w:szCs w:val="20"/>
        </w:rPr>
      </w:pPr>
      <w:r w:rsidRPr="003B37F4">
        <w:rPr>
          <w:rFonts w:cs="Arial"/>
          <w:szCs w:val="20"/>
        </w:rPr>
        <w:t>The Health District’s basic financial statements consist of government-wide financial statements, including a statement of net assets and a statement of activities, and fund financial statements which provide a more detailed level of financial information.</w:t>
      </w:r>
    </w:p>
    <w:p w14:paraId="68955E12" w14:textId="77777777" w:rsidR="007916FF" w:rsidRPr="003B37F4" w:rsidRDefault="007916FF" w:rsidP="00B61AEF">
      <w:pPr>
        <w:pStyle w:val="Heading4"/>
      </w:pPr>
      <w:r w:rsidRPr="003B37F4">
        <w:lastRenderedPageBreak/>
        <w:tab/>
      </w:r>
      <w:r w:rsidRPr="003B37F4">
        <w:tab/>
        <w:t>1.</w:t>
      </w:r>
      <w:r w:rsidRPr="003B37F4">
        <w:tab/>
        <w:t>Government-Wide Financial Statements</w:t>
      </w:r>
    </w:p>
    <w:p w14:paraId="4546C5EF" w14:textId="77777777" w:rsidR="007916FF" w:rsidRPr="003B37F4" w:rsidRDefault="007916FF" w:rsidP="007916FF">
      <w:pPr>
        <w:tabs>
          <w:tab w:val="left" w:pos="547"/>
          <w:tab w:val="left" w:pos="907"/>
          <w:tab w:val="left" w:pos="1440"/>
          <w:tab w:val="left" w:pos="1987"/>
          <w:tab w:val="left" w:pos="2347"/>
        </w:tabs>
        <w:jc w:val="both"/>
        <w:rPr>
          <w:rFonts w:cs="Arial"/>
          <w:szCs w:val="20"/>
        </w:rPr>
      </w:pPr>
    </w:p>
    <w:p w14:paraId="47244328" w14:textId="77777777" w:rsidR="007916FF" w:rsidRPr="003B37F4" w:rsidRDefault="007916FF" w:rsidP="007916FF">
      <w:pPr>
        <w:tabs>
          <w:tab w:val="left" w:pos="547"/>
          <w:tab w:val="left" w:pos="907"/>
          <w:tab w:val="left" w:pos="1440"/>
          <w:tab w:val="left" w:pos="1987"/>
          <w:tab w:val="left" w:pos="2347"/>
        </w:tabs>
        <w:ind w:left="1440"/>
        <w:jc w:val="both"/>
        <w:rPr>
          <w:rFonts w:cs="Arial"/>
          <w:szCs w:val="20"/>
        </w:rPr>
      </w:pPr>
      <w:r w:rsidRPr="003B37F4">
        <w:rPr>
          <w:rFonts w:cs="Arial"/>
          <w:szCs w:val="20"/>
        </w:rPr>
        <w:t xml:space="preserve">The statement of net assets and the statement of activities display information about the Health District as a whole.  These statements include the financial activities of the primary government.  These statements usually distinguish between those activities of the Health District that are governmental in nature and those that are considered business-type activities.  Governmental activities generally are financed through taxes, intergovernmental </w:t>
      </w:r>
      <w:proofErr w:type="gramStart"/>
      <w:r w:rsidRPr="003B37F4">
        <w:rPr>
          <w:rFonts w:cs="Arial"/>
          <w:szCs w:val="20"/>
        </w:rPr>
        <w:t>receipts</w:t>
      </w:r>
      <w:proofErr w:type="gramEnd"/>
      <w:r w:rsidRPr="003B37F4">
        <w:rPr>
          <w:rFonts w:cs="Arial"/>
          <w:szCs w:val="20"/>
        </w:rPr>
        <w:t xml:space="preserve"> or other non-exchange transactions.  Business-type activities are financed in whole or in part by fees charged to external parties for goods or services.  The Health District has no business-type activities.</w:t>
      </w:r>
    </w:p>
    <w:p w14:paraId="55312D7F" w14:textId="77777777" w:rsidR="007916FF" w:rsidRPr="003B37F4" w:rsidRDefault="007916FF" w:rsidP="007916FF">
      <w:pPr>
        <w:tabs>
          <w:tab w:val="left" w:pos="547"/>
          <w:tab w:val="left" w:pos="907"/>
          <w:tab w:val="left" w:pos="1440"/>
          <w:tab w:val="left" w:pos="1987"/>
          <w:tab w:val="left" w:pos="2347"/>
        </w:tabs>
        <w:ind w:left="1440"/>
        <w:jc w:val="both"/>
        <w:rPr>
          <w:rFonts w:cs="Arial"/>
          <w:szCs w:val="20"/>
        </w:rPr>
      </w:pPr>
    </w:p>
    <w:p w14:paraId="5AAB446A" w14:textId="77777777" w:rsidR="007916FF" w:rsidRPr="003B37F4" w:rsidRDefault="007916FF" w:rsidP="007916FF">
      <w:pPr>
        <w:tabs>
          <w:tab w:val="left" w:pos="547"/>
          <w:tab w:val="left" w:pos="907"/>
          <w:tab w:val="left" w:pos="1440"/>
          <w:tab w:val="left" w:pos="1987"/>
          <w:tab w:val="left" w:pos="2347"/>
        </w:tabs>
        <w:ind w:left="1440"/>
        <w:jc w:val="both"/>
        <w:rPr>
          <w:rFonts w:cs="Arial"/>
          <w:szCs w:val="20"/>
        </w:rPr>
      </w:pPr>
      <w:r w:rsidRPr="003B37F4">
        <w:rPr>
          <w:rFonts w:cs="Arial"/>
          <w:szCs w:val="20"/>
        </w:rPr>
        <w:t>The statement of net assets presents the cash balance of the governmental activities of the Health District at year end.  The statement of activities compares disbursements and program receipts for each program or function of the Health District’s governmental activities.  Disbursements are reported by function.  A function is a group of related activities designed to accomplish a major service or regulatory program for which the Health District is responsible.  Program receipts include charges paid by the recipient of the goods or services offered by the program, grants and contributions that are restricted to meeting the operational or capital requirements of a particular program and contract services rendered for a program.  Receipts which are not classified as program receipts are presented as general receipts of the Health District, with certain limited exceptions.  The comparison of direct disbursements with program receipts identifies the extent to which each governmental program is self-financing on a cash basis or draws from the general receipts of the Health District.</w:t>
      </w:r>
    </w:p>
    <w:p w14:paraId="776C8A32" w14:textId="77777777" w:rsidR="007916FF" w:rsidRPr="003B37F4" w:rsidRDefault="007916FF" w:rsidP="00B61AEF">
      <w:pPr>
        <w:pStyle w:val="Heading4"/>
      </w:pPr>
      <w:r w:rsidRPr="003B37F4">
        <w:tab/>
      </w:r>
      <w:r w:rsidRPr="003B37F4">
        <w:tab/>
        <w:t>2.</w:t>
      </w:r>
      <w:r w:rsidRPr="003B37F4">
        <w:tab/>
        <w:t>Fund Financial Statements</w:t>
      </w:r>
    </w:p>
    <w:p w14:paraId="19FE8B64" w14:textId="77777777" w:rsidR="007916FF" w:rsidRPr="003B37F4" w:rsidRDefault="007916FF" w:rsidP="007916FF">
      <w:pPr>
        <w:tabs>
          <w:tab w:val="left" w:pos="547"/>
          <w:tab w:val="left" w:pos="907"/>
          <w:tab w:val="left" w:pos="1440"/>
          <w:tab w:val="left" w:pos="1987"/>
          <w:tab w:val="left" w:pos="2347"/>
        </w:tabs>
        <w:jc w:val="both"/>
        <w:rPr>
          <w:rFonts w:cs="Arial"/>
          <w:szCs w:val="20"/>
        </w:rPr>
      </w:pPr>
    </w:p>
    <w:p w14:paraId="55362C1B" w14:textId="77777777" w:rsidR="007916FF" w:rsidRPr="003B37F4" w:rsidRDefault="007916FF" w:rsidP="007916FF">
      <w:pPr>
        <w:tabs>
          <w:tab w:val="left" w:pos="547"/>
          <w:tab w:val="left" w:pos="907"/>
          <w:tab w:val="left" w:pos="1440"/>
          <w:tab w:val="left" w:pos="1987"/>
          <w:tab w:val="left" w:pos="2347"/>
        </w:tabs>
        <w:ind w:left="1440"/>
        <w:jc w:val="both"/>
        <w:rPr>
          <w:rFonts w:cs="Arial"/>
          <w:szCs w:val="20"/>
        </w:rPr>
      </w:pPr>
      <w:r w:rsidRPr="003B37F4">
        <w:rPr>
          <w:rFonts w:cs="Arial"/>
          <w:szCs w:val="20"/>
        </w:rPr>
        <w:t xml:space="preserve">During the year, the Health District segregates transactions related to certain Health District functions or activities in separate funds </w:t>
      </w:r>
      <w:proofErr w:type="gramStart"/>
      <w:r w:rsidRPr="003B37F4">
        <w:rPr>
          <w:rFonts w:cs="Arial"/>
          <w:szCs w:val="20"/>
        </w:rPr>
        <w:t>in order to</w:t>
      </w:r>
      <w:proofErr w:type="gramEnd"/>
      <w:r w:rsidRPr="003B37F4">
        <w:rPr>
          <w:rFonts w:cs="Arial"/>
          <w:szCs w:val="20"/>
        </w:rPr>
        <w:t xml:space="preserve"> aid financial management and to demonstrate legal compliance.  Fund financial statements are designed to present financial information of the Health District at this more detailed level.  The focus of governmental fund financial statements is on major funds.  Each major fund is presented in a separate column.  Non-major funds are aggregated and presented in a single column.</w:t>
      </w:r>
    </w:p>
    <w:p w14:paraId="1A46EB2B" w14:textId="77777777" w:rsidR="007916FF" w:rsidRPr="003B37F4" w:rsidRDefault="007916FF" w:rsidP="00B61AEF">
      <w:pPr>
        <w:pStyle w:val="Heading3"/>
      </w:pPr>
      <w:r w:rsidRPr="003B37F4">
        <w:tab/>
      </w:r>
      <w:bookmarkStart w:id="60" w:name="_Toc284945537"/>
      <w:bookmarkStart w:id="61" w:name="_Toc315938431"/>
      <w:r w:rsidRPr="003B37F4">
        <w:t>B.</w:t>
      </w:r>
      <w:r w:rsidRPr="003B37F4">
        <w:tab/>
        <w:t>Fund Accounting</w:t>
      </w:r>
      <w:bookmarkEnd w:id="60"/>
      <w:bookmarkEnd w:id="61"/>
    </w:p>
    <w:p w14:paraId="2DB87E8E" w14:textId="77777777" w:rsidR="007916FF" w:rsidRPr="003B37F4" w:rsidRDefault="007916FF" w:rsidP="007916FF">
      <w:pPr>
        <w:tabs>
          <w:tab w:val="left" w:pos="547"/>
          <w:tab w:val="left" w:pos="907"/>
          <w:tab w:val="left" w:pos="1440"/>
          <w:tab w:val="left" w:pos="1987"/>
          <w:tab w:val="left" w:pos="2347"/>
        </w:tabs>
        <w:jc w:val="both"/>
        <w:rPr>
          <w:rFonts w:cs="Arial"/>
          <w:szCs w:val="20"/>
        </w:rPr>
      </w:pPr>
    </w:p>
    <w:p w14:paraId="19DBCE54" w14:textId="77777777" w:rsidR="007916FF" w:rsidRPr="003B37F4" w:rsidRDefault="007916FF" w:rsidP="007916FF">
      <w:pPr>
        <w:tabs>
          <w:tab w:val="left" w:pos="547"/>
          <w:tab w:val="left" w:pos="907"/>
          <w:tab w:val="left" w:pos="1440"/>
          <w:tab w:val="left" w:pos="1987"/>
          <w:tab w:val="left" w:pos="2347"/>
        </w:tabs>
        <w:ind w:left="900"/>
        <w:jc w:val="both"/>
        <w:rPr>
          <w:rFonts w:cs="Arial"/>
          <w:szCs w:val="20"/>
        </w:rPr>
      </w:pPr>
      <w:r w:rsidRPr="003B37F4">
        <w:rPr>
          <w:rFonts w:cs="Arial"/>
          <w:szCs w:val="20"/>
        </w:rPr>
        <w:t xml:space="preserve">The Health District uses funds to maintain its financial records during the year.  A fund is defined as a fiscal and accounting entity with a self-balancing set of accounts.  Funds are used to segregate resources that are restricted as to use.  </w:t>
      </w:r>
      <w:proofErr w:type="gramStart"/>
      <w:r w:rsidRPr="003B37F4">
        <w:rPr>
          <w:rFonts w:cs="Arial"/>
          <w:szCs w:val="20"/>
        </w:rPr>
        <w:t>All of</w:t>
      </w:r>
      <w:proofErr w:type="gramEnd"/>
      <w:r w:rsidRPr="003B37F4">
        <w:rPr>
          <w:rFonts w:cs="Arial"/>
          <w:szCs w:val="20"/>
        </w:rPr>
        <w:t xml:space="preserve"> the funds of the Health District are governmental.</w:t>
      </w:r>
    </w:p>
    <w:p w14:paraId="20871D99" w14:textId="77777777" w:rsidR="007916FF" w:rsidRPr="003B37F4" w:rsidRDefault="007916FF" w:rsidP="00B61AEF">
      <w:pPr>
        <w:pStyle w:val="Heading4"/>
      </w:pPr>
      <w:r w:rsidRPr="003B37F4">
        <w:tab/>
      </w:r>
      <w:r w:rsidRPr="003B37F4">
        <w:tab/>
        <w:t>1.</w:t>
      </w:r>
      <w:r w:rsidRPr="003B37F4">
        <w:tab/>
        <w:t>Governmental Funds</w:t>
      </w:r>
    </w:p>
    <w:p w14:paraId="7A872915" w14:textId="77777777" w:rsidR="007916FF" w:rsidRPr="003B37F4" w:rsidRDefault="007916FF" w:rsidP="007916FF">
      <w:pPr>
        <w:tabs>
          <w:tab w:val="left" w:pos="547"/>
          <w:tab w:val="left" w:pos="907"/>
          <w:tab w:val="left" w:pos="1440"/>
          <w:tab w:val="left" w:pos="1987"/>
          <w:tab w:val="left" w:pos="2347"/>
        </w:tabs>
        <w:jc w:val="both"/>
        <w:rPr>
          <w:rFonts w:cs="Arial"/>
          <w:szCs w:val="20"/>
        </w:rPr>
      </w:pPr>
    </w:p>
    <w:p w14:paraId="2E3FF4CE" w14:textId="77777777" w:rsidR="007916FF" w:rsidRPr="003B37F4" w:rsidRDefault="007916FF" w:rsidP="007916FF">
      <w:pPr>
        <w:tabs>
          <w:tab w:val="left" w:pos="547"/>
          <w:tab w:val="left" w:pos="907"/>
          <w:tab w:val="left" w:pos="1440"/>
          <w:tab w:val="left" w:pos="1987"/>
          <w:tab w:val="left" w:pos="2347"/>
        </w:tabs>
        <w:ind w:left="1440"/>
        <w:jc w:val="both"/>
        <w:rPr>
          <w:rFonts w:cs="Arial"/>
          <w:szCs w:val="20"/>
        </w:rPr>
      </w:pPr>
      <w:r w:rsidRPr="003B37F4">
        <w:rPr>
          <w:rFonts w:cs="Arial"/>
          <w:szCs w:val="20"/>
        </w:rPr>
        <w:t>Governmental funds are those through which most governmental functions of the Health District are financed.  The following are the Health District’s major governmental funds:</w:t>
      </w:r>
    </w:p>
    <w:p w14:paraId="669F4525" w14:textId="77777777" w:rsidR="007916FF" w:rsidRPr="003B37F4" w:rsidRDefault="007916FF" w:rsidP="007916FF">
      <w:pPr>
        <w:tabs>
          <w:tab w:val="left" w:pos="547"/>
          <w:tab w:val="left" w:pos="907"/>
          <w:tab w:val="left" w:pos="1440"/>
          <w:tab w:val="left" w:pos="1987"/>
          <w:tab w:val="left" w:pos="2347"/>
        </w:tabs>
        <w:jc w:val="both"/>
        <w:rPr>
          <w:rFonts w:cs="Arial"/>
          <w:szCs w:val="20"/>
        </w:rPr>
      </w:pPr>
    </w:p>
    <w:p w14:paraId="072C9322" w14:textId="77777777" w:rsidR="007916FF" w:rsidRPr="003B37F4" w:rsidRDefault="007916FF" w:rsidP="007916FF">
      <w:pPr>
        <w:tabs>
          <w:tab w:val="left" w:pos="540"/>
          <w:tab w:val="left" w:pos="907"/>
          <w:tab w:val="left" w:pos="1440"/>
          <w:tab w:val="left" w:pos="1987"/>
          <w:tab w:val="left" w:pos="2347"/>
        </w:tabs>
        <w:ind w:left="1440"/>
        <w:jc w:val="both"/>
        <w:rPr>
          <w:rFonts w:cs="Arial"/>
          <w:szCs w:val="20"/>
        </w:rPr>
      </w:pPr>
      <w:r w:rsidRPr="003B37F4">
        <w:rPr>
          <w:rFonts w:cs="Arial"/>
          <w:szCs w:val="20"/>
        </w:rPr>
        <w:t>The General Fund accounts for all financial resources, except those required to be accounted for in another fund.  The General Fund balance is available to the Health District for any purpose provided it is expended or transferred according to the general laws of Ohio.</w:t>
      </w:r>
    </w:p>
    <w:p w14:paraId="54152809" w14:textId="77777777" w:rsidR="007916FF" w:rsidRPr="003B37F4" w:rsidRDefault="007916FF" w:rsidP="007916FF">
      <w:pPr>
        <w:pStyle w:val="PlainText"/>
        <w:tabs>
          <w:tab w:val="left" w:pos="547"/>
          <w:tab w:val="left" w:pos="907"/>
          <w:tab w:val="left" w:pos="1440"/>
          <w:tab w:val="left" w:pos="1987"/>
          <w:tab w:val="left" w:pos="2347"/>
        </w:tabs>
        <w:ind w:left="1440"/>
        <w:jc w:val="both"/>
        <w:rPr>
          <w:rFonts w:ascii="Arial" w:hAnsi="Arial" w:cs="Arial"/>
        </w:rPr>
      </w:pPr>
    </w:p>
    <w:p w14:paraId="4AADD34F" w14:textId="77777777" w:rsidR="007916FF" w:rsidRPr="003B37F4" w:rsidRDefault="007916FF" w:rsidP="007916FF">
      <w:pPr>
        <w:pStyle w:val="PlainText"/>
        <w:tabs>
          <w:tab w:val="left" w:pos="547"/>
          <w:tab w:val="left" w:pos="907"/>
          <w:tab w:val="left" w:pos="1440"/>
          <w:tab w:val="left" w:pos="1987"/>
          <w:tab w:val="left" w:pos="2347"/>
        </w:tabs>
        <w:ind w:left="1440"/>
        <w:jc w:val="both"/>
        <w:rPr>
          <w:rFonts w:ascii="Arial" w:hAnsi="Arial" w:cs="Arial"/>
        </w:rPr>
      </w:pPr>
      <w:r w:rsidRPr="003B37F4">
        <w:rPr>
          <w:rFonts w:ascii="Arial" w:hAnsi="Arial" w:cs="Arial"/>
        </w:rPr>
        <w:t xml:space="preserve">The </w:t>
      </w:r>
      <w:r w:rsidR="004D49FE" w:rsidRPr="003B37F4">
        <w:rPr>
          <w:rFonts w:ascii="Arial" w:hAnsi="Arial" w:cs="Arial"/>
        </w:rPr>
        <w:t>Public Health Emergency Preparedness</w:t>
      </w:r>
      <w:r w:rsidRPr="003B37F4">
        <w:rPr>
          <w:rFonts w:ascii="Arial" w:hAnsi="Arial" w:cs="Arial"/>
        </w:rPr>
        <w:t xml:space="preserve"> Grant Fund, </w:t>
      </w:r>
      <w:r w:rsidR="004D49FE" w:rsidRPr="003B37F4">
        <w:rPr>
          <w:rFonts w:ascii="Arial" w:hAnsi="Arial" w:cs="Arial"/>
        </w:rPr>
        <w:t xml:space="preserve">the Immunization Action Plan Grant Fund, </w:t>
      </w:r>
      <w:r w:rsidRPr="003B37F4">
        <w:rPr>
          <w:rFonts w:ascii="Arial" w:hAnsi="Arial" w:cs="Arial"/>
        </w:rPr>
        <w:t>and the WIC Grant Fund a</w:t>
      </w:r>
      <w:r w:rsidR="004D49FE" w:rsidRPr="003B37F4">
        <w:rPr>
          <w:rFonts w:ascii="Arial" w:hAnsi="Arial" w:cs="Arial"/>
        </w:rPr>
        <w:t>ccount for State</w:t>
      </w:r>
      <w:r w:rsidRPr="003B37F4">
        <w:rPr>
          <w:rFonts w:ascii="Arial" w:hAnsi="Arial" w:cs="Arial"/>
        </w:rPr>
        <w:t xml:space="preserve"> and Federal grant money used to provide programs in Champaign County.  The WIC funds are predominantly for early childhood issues including nutrition, ear</w:t>
      </w:r>
      <w:r w:rsidR="00D225FF" w:rsidRPr="003B37F4">
        <w:rPr>
          <w:rFonts w:ascii="Arial" w:hAnsi="Arial" w:cs="Arial"/>
        </w:rPr>
        <w:t xml:space="preserve">ly </w:t>
      </w:r>
      <w:proofErr w:type="gramStart"/>
      <w:r w:rsidR="00D225FF" w:rsidRPr="003B37F4">
        <w:rPr>
          <w:rFonts w:ascii="Arial" w:hAnsi="Arial" w:cs="Arial"/>
        </w:rPr>
        <w:t>detection</w:t>
      </w:r>
      <w:proofErr w:type="gramEnd"/>
      <w:r w:rsidR="00D225FF" w:rsidRPr="003B37F4">
        <w:rPr>
          <w:rFonts w:ascii="Arial" w:hAnsi="Arial" w:cs="Arial"/>
        </w:rPr>
        <w:t xml:space="preserve"> and intervention.  </w:t>
      </w:r>
      <w:r w:rsidRPr="003B37F4">
        <w:rPr>
          <w:rFonts w:ascii="Arial" w:hAnsi="Arial" w:cs="Arial"/>
        </w:rPr>
        <w:t>T</w:t>
      </w:r>
      <w:r w:rsidR="00D225FF" w:rsidRPr="003B37F4">
        <w:rPr>
          <w:rFonts w:ascii="Arial" w:hAnsi="Arial" w:cs="Arial"/>
        </w:rPr>
        <w:t>he Public Health Emergency Preparedness</w:t>
      </w:r>
      <w:r w:rsidRPr="003B37F4">
        <w:rPr>
          <w:rFonts w:ascii="Arial" w:hAnsi="Arial" w:cs="Arial"/>
        </w:rPr>
        <w:t xml:space="preserve"> Fund includes the Public Health </w:t>
      </w:r>
      <w:r w:rsidR="004116E2" w:rsidRPr="003B37F4">
        <w:rPr>
          <w:rFonts w:ascii="Arial" w:hAnsi="Arial" w:cs="Arial"/>
        </w:rPr>
        <w:t>Emergency Preparedness</w:t>
      </w:r>
      <w:r w:rsidR="00D225FF" w:rsidRPr="003B37F4">
        <w:rPr>
          <w:rFonts w:ascii="Arial" w:hAnsi="Arial" w:cs="Arial"/>
        </w:rPr>
        <w:t xml:space="preserve"> and </w:t>
      </w:r>
      <w:r w:rsidR="00D225FF" w:rsidRPr="003B37F4">
        <w:rPr>
          <w:rFonts w:ascii="Arial" w:hAnsi="Arial" w:cs="Arial"/>
        </w:rPr>
        <w:lastRenderedPageBreak/>
        <w:t>Medical Reserve Corp</w:t>
      </w:r>
      <w:r w:rsidRPr="003B37F4">
        <w:rPr>
          <w:rFonts w:ascii="Arial" w:hAnsi="Arial" w:cs="Arial"/>
        </w:rPr>
        <w:t xml:space="preserve">s funds, which are used to provide public health emergency preparedness and volunteer recruitment activities for the county. </w:t>
      </w:r>
      <w:r w:rsidR="004D49FE" w:rsidRPr="003B37F4">
        <w:rPr>
          <w:rFonts w:ascii="Arial" w:hAnsi="Arial" w:cs="Arial"/>
        </w:rPr>
        <w:t xml:space="preserve">The Immunization Action Plan fund is used to provide immunization and immunization education for families of children birth through </w:t>
      </w:r>
      <w:proofErr w:type="gramStart"/>
      <w:r w:rsidR="004D49FE" w:rsidRPr="003B37F4">
        <w:rPr>
          <w:rFonts w:ascii="Arial" w:hAnsi="Arial" w:cs="Arial"/>
        </w:rPr>
        <w:t>thirty five</w:t>
      </w:r>
      <w:proofErr w:type="gramEnd"/>
      <w:r w:rsidR="004D49FE" w:rsidRPr="003B37F4">
        <w:rPr>
          <w:rFonts w:ascii="Arial" w:hAnsi="Arial" w:cs="Arial"/>
        </w:rPr>
        <w:t xml:space="preserve"> months. </w:t>
      </w:r>
      <w:r w:rsidRPr="003B37F4">
        <w:rPr>
          <w:rFonts w:ascii="Arial" w:hAnsi="Arial" w:cs="Arial"/>
        </w:rPr>
        <w:t xml:space="preserve"> Each of these funds is restricted for a particular purpose.</w:t>
      </w:r>
    </w:p>
    <w:p w14:paraId="09906913" w14:textId="77777777" w:rsidR="007916FF" w:rsidRPr="003B37F4" w:rsidRDefault="007916FF" w:rsidP="007916FF">
      <w:pPr>
        <w:tabs>
          <w:tab w:val="left" w:pos="547"/>
          <w:tab w:val="left" w:pos="907"/>
          <w:tab w:val="left" w:pos="1440"/>
          <w:tab w:val="left" w:pos="1987"/>
          <w:tab w:val="left" w:pos="2347"/>
        </w:tabs>
        <w:jc w:val="both"/>
        <w:rPr>
          <w:rFonts w:cs="Arial"/>
          <w:szCs w:val="20"/>
          <w:u w:val="single"/>
        </w:rPr>
      </w:pPr>
    </w:p>
    <w:p w14:paraId="041BBC8C" w14:textId="77777777" w:rsidR="007916FF" w:rsidRPr="003B37F4" w:rsidRDefault="007916FF" w:rsidP="007916FF">
      <w:pPr>
        <w:tabs>
          <w:tab w:val="left" w:pos="547"/>
          <w:tab w:val="left" w:pos="907"/>
          <w:tab w:val="left" w:pos="1440"/>
          <w:tab w:val="left" w:pos="1987"/>
          <w:tab w:val="left" w:pos="2347"/>
        </w:tabs>
        <w:ind w:left="1440"/>
        <w:jc w:val="both"/>
        <w:rPr>
          <w:rFonts w:cs="Arial"/>
          <w:szCs w:val="20"/>
        </w:rPr>
      </w:pPr>
      <w:r w:rsidRPr="003B37F4">
        <w:rPr>
          <w:rFonts w:cs="Arial"/>
          <w:szCs w:val="20"/>
        </w:rPr>
        <w:t>The other governmental funds of the Health District account for grants and other resources whose use is restricted for a particular purpose.</w:t>
      </w:r>
    </w:p>
    <w:p w14:paraId="371CF4A4" w14:textId="77777777" w:rsidR="007916FF" w:rsidRPr="003B37F4" w:rsidRDefault="007916FF" w:rsidP="00B61AEF">
      <w:pPr>
        <w:pStyle w:val="Heading3"/>
      </w:pPr>
      <w:r w:rsidRPr="003B37F4">
        <w:tab/>
      </w:r>
      <w:bookmarkStart w:id="62" w:name="_Toc284945538"/>
      <w:bookmarkStart w:id="63" w:name="_Toc315938432"/>
      <w:r w:rsidRPr="003B37F4">
        <w:t>C.</w:t>
      </w:r>
      <w:r w:rsidRPr="003B37F4">
        <w:tab/>
        <w:t>Basis of Accounting</w:t>
      </w:r>
      <w:bookmarkEnd w:id="62"/>
      <w:bookmarkEnd w:id="63"/>
    </w:p>
    <w:p w14:paraId="6CE210BE" w14:textId="77777777" w:rsidR="007916FF" w:rsidRPr="003B37F4" w:rsidRDefault="007916FF" w:rsidP="007916FF">
      <w:pPr>
        <w:tabs>
          <w:tab w:val="left" w:pos="547"/>
          <w:tab w:val="left" w:pos="907"/>
          <w:tab w:val="left" w:pos="1440"/>
          <w:tab w:val="left" w:pos="1987"/>
          <w:tab w:val="left" w:pos="2347"/>
        </w:tabs>
        <w:jc w:val="both"/>
        <w:rPr>
          <w:rFonts w:cs="Arial"/>
          <w:szCs w:val="20"/>
        </w:rPr>
      </w:pPr>
    </w:p>
    <w:p w14:paraId="37A928B5" w14:textId="77777777" w:rsidR="007916FF" w:rsidRPr="003B37F4" w:rsidRDefault="007916FF" w:rsidP="007916FF">
      <w:pPr>
        <w:tabs>
          <w:tab w:val="left" w:pos="547"/>
          <w:tab w:val="left" w:pos="907"/>
          <w:tab w:val="left" w:pos="1440"/>
          <w:tab w:val="left" w:pos="1987"/>
          <w:tab w:val="left" w:pos="2347"/>
        </w:tabs>
        <w:ind w:left="900"/>
        <w:jc w:val="both"/>
        <w:rPr>
          <w:rFonts w:cs="Arial"/>
          <w:szCs w:val="20"/>
        </w:rPr>
      </w:pPr>
      <w:r w:rsidRPr="003B37F4">
        <w:rPr>
          <w:rFonts w:cs="Arial"/>
          <w:szCs w:val="20"/>
        </w:rPr>
        <w:t xml:space="preserve">The Health District’s financial statements are prepared using the </w:t>
      </w:r>
      <w:r w:rsidR="002B3498" w:rsidRPr="003B37F4">
        <w:rPr>
          <w:rFonts w:cs="Arial"/>
          <w:szCs w:val="20"/>
        </w:rPr>
        <w:t xml:space="preserve">modified </w:t>
      </w:r>
      <w:r w:rsidRPr="003B37F4">
        <w:rPr>
          <w:rFonts w:cs="Arial"/>
          <w:szCs w:val="20"/>
        </w:rPr>
        <w:t>cash basis of accounting.  Receipts are recorded in the Health District’s financial records and reported in the financial statements when cash is received rather than when earned and disbursements are recorded when cash is paid rather than when a liability is incurred.</w:t>
      </w:r>
    </w:p>
    <w:p w14:paraId="6F8B7FF1" w14:textId="77777777" w:rsidR="007916FF" w:rsidRPr="003B37F4" w:rsidRDefault="007916FF" w:rsidP="007916FF">
      <w:pPr>
        <w:tabs>
          <w:tab w:val="left" w:pos="547"/>
          <w:tab w:val="left" w:pos="907"/>
          <w:tab w:val="left" w:pos="1440"/>
          <w:tab w:val="left" w:pos="1987"/>
          <w:tab w:val="left" w:pos="2347"/>
        </w:tabs>
        <w:ind w:left="900"/>
        <w:jc w:val="both"/>
        <w:rPr>
          <w:rFonts w:cs="Arial"/>
          <w:szCs w:val="20"/>
        </w:rPr>
      </w:pPr>
    </w:p>
    <w:p w14:paraId="55B838BC" w14:textId="77777777" w:rsidR="007916FF" w:rsidRPr="003B37F4" w:rsidRDefault="007916FF" w:rsidP="007916FF">
      <w:pPr>
        <w:tabs>
          <w:tab w:val="left" w:pos="547"/>
          <w:tab w:val="left" w:pos="907"/>
          <w:tab w:val="left" w:pos="1440"/>
          <w:tab w:val="left" w:pos="1987"/>
          <w:tab w:val="left" w:pos="2347"/>
        </w:tabs>
        <w:ind w:left="900"/>
        <w:jc w:val="both"/>
        <w:rPr>
          <w:rFonts w:cs="Arial"/>
          <w:szCs w:val="20"/>
        </w:rPr>
      </w:pPr>
      <w:r w:rsidRPr="003B37F4">
        <w:rPr>
          <w:rFonts w:cs="Arial"/>
          <w:szCs w:val="20"/>
        </w:rPr>
        <w:t>As a result of the use of this</w:t>
      </w:r>
      <w:r w:rsidR="002B3498" w:rsidRPr="003B37F4">
        <w:rPr>
          <w:rFonts w:cs="Arial"/>
          <w:szCs w:val="20"/>
        </w:rPr>
        <w:t xml:space="preserve"> modified</w:t>
      </w:r>
      <w:r w:rsidRPr="003B37F4">
        <w:rPr>
          <w:rFonts w:cs="Arial"/>
          <w:szCs w:val="20"/>
        </w:rPr>
        <w:t xml:space="preserve"> cash basis of accounting, certain </w:t>
      </w:r>
      <w:proofErr w:type="gramStart"/>
      <w:r w:rsidRPr="003B37F4">
        <w:rPr>
          <w:rFonts w:cs="Arial"/>
          <w:szCs w:val="20"/>
        </w:rPr>
        <w:t>assets</w:t>
      </w:r>
      <w:proofErr w:type="gramEnd"/>
      <w:r w:rsidRPr="003B37F4">
        <w:rPr>
          <w:rFonts w:cs="Arial"/>
          <w:szCs w:val="20"/>
        </w:rPr>
        <w:t xml:space="preserve"> and their related revenues (such as accounts receivable and revenue for billed or provided services not yet collected) and certain liabilities and their related expenses (such as accounts payable and expenses for goods or services received but not yet paid, and accrued liabilities and their related expenses) are not recorded in these financial statements.</w:t>
      </w:r>
    </w:p>
    <w:p w14:paraId="17656BA0" w14:textId="77777777" w:rsidR="007916FF" w:rsidRPr="003B37F4" w:rsidRDefault="007916FF" w:rsidP="00B61AEF">
      <w:pPr>
        <w:pStyle w:val="Heading3"/>
      </w:pPr>
      <w:r w:rsidRPr="003B37F4">
        <w:tab/>
      </w:r>
      <w:bookmarkStart w:id="64" w:name="_Toc284945539"/>
      <w:bookmarkStart w:id="65" w:name="_Toc315938433"/>
      <w:r w:rsidRPr="003B37F4">
        <w:t>D.</w:t>
      </w:r>
      <w:r w:rsidRPr="003B37F4">
        <w:tab/>
        <w:t>Budgetary Process</w:t>
      </w:r>
      <w:bookmarkEnd w:id="64"/>
      <w:bookmarkEnd w:id="65"/>
    </w:p>
    <w:p w14:paraId="28DE9F1C" w14:textId="77777777" w:rsidR="007916FF" w:rsidRPr="003B37F4" w:rsidRDefault="007916FF" w:rsidP="007916FF">
      <w:pPr>
        <w:tabs>
          <w:tab w:val="left" w:pos="547"/>
          <w:tab w:val="left" w:pos="907"/>
          <w:tab w:val="left" w:pos="1440"/>
          <w:tab w:val="left" w:pos="1987"/>
          <w:tab w:val="left" w:pos="2347"/>
        </w:tabs>
        <w:jc w:val="both"/>
        <w:rPr>
          <w:rFonts w:cs="Arial"/>
          <w:szCs w:val="20"/>
        </w:rPr>
      </w:pPr>
    </w:p>
    <w:p w14:paraId="7F8AC1AC" w14:textId="77777777" w:rsidR="007916FF" w:rsidRPr="003B37F4" w:rsidRDefault="007916FF" w:rsidP="007916FF">
      <w:pPr>
        <w:tabs>
          <w:tab w:val="left" w:pos="547"/>
          <w:tab w:val="left" w:pos="907"/>
          <w:tab w:val="left" w:pos="1440"/>
          <w:tab w:val="left" w:pos="1987"/>
          <w:tab w:val="left" w:pos="2347"/>
        </w:tabs>
        <w:ind w:left="900"/>
        <w:jc w:val="both"/>
        <w:rPr>
          <w:rFonts w:cs="Arial"/>
          <w:szCs w:val="20"/>
        </w:rPr>
      </w:pPr>
      <w:r w:rsidRPr="003B37F4">
        <w:rPr>
          <w:rFonts w:cs="Arial"/>
          <w:szCs w:val="20"/>
        </w:rPr>
        <w:t>All funds, except agency funds, are legally required to be budgeted and appropriated.  The major documents prepared are the tax budget, the certificate of estimated resources, and the appropriations resolution, all of which are prepared on the budgetary basis of accounting.  The tax budget demonstrates a need for existing or increased tax rates.  The certificate of estimated resources establishes a limit on the amount the Board of Health may appropriate.  The appropriations resolution is the Board of Health’s authorization to spend resources and sets annual limits on cash disbursements plus encumbrances at the level of control selected by the Board of Health.  The legal level of control has been established by the Board of Health at the fund, function, and object level for all funds.</w:t>
      </w:r>
    </w:p>
    <w:p w14:paraId="0934CEC9" w14:textId="77777777" w:rsidR="007916FF" w:rsidRPr="003B37F4" w:rsidRDefault="007916FF" w:rsidP="007916FF">
      <w:pPr>
        <w:tabs>
          <w:tab w:val="left" w:pos="547"/>
          <w:tab w:val="left" w:pos="907"/>
          <w:tab w:val="left" w:pos="1440"/>
          <w:tab w:val="left" w:pos="1987"/>
          <w:tab w:val="left" w:pos="2347"/>
        </w:tabs>
        <w:ind w:left="900"/>
        <w:jc w:val="both"/>
        <w:rPr>
          <w:rFonts w:cs="Arial"/>
          <w:szCs w:val="20"/>
        </w:rPr>
      </w:pPr>
    </w:p>
    <w:p w14:paraId="49EDACB1" w14:textId="77777777" w:rsidR="007916FF" w:rsidRPr="003B37F4" w:rsidRDefault="007916FF" w:rsidP="007916FF">
      <w:pPr>
        <w:tabs>
          <w:tab w:val="left" w:pos="547"/>
          <w:tab w:val="left" w:pos="907"/>
          <w:tab w:val="left" w:pos="1440"/>
          <w:tab w:val="left" w:pos="1987"/>
          <w:tab w:val="left" w:pos="2347"/>
        </w:tabs>
        <w:ind w:left="900"/>
        <w:jc w:val="both"/>
        <w:rPr>
          <w:rFonts w:cs="Arial"/>
          <w:szCs w:val="20"/>
        </w:rPr>
      </w:pPr>
      <w:r w:rsidRPr="003B37F4">
        <w:rPr>
          <w:rFonts w:cs="Arial"/>
          <w:szCs w:val="20"/>
        </w:rPr>
        <w:t>ORC Section 5705.28(C)(1) requires the Health District to file an estimate of contemplated revenue and expenses with the municipalities and Health Districts within the Health District by about June 1 (forty-five days prior to July 15).  The county auditor cannot allocate property taxes from the municipalities and Health Districts within the district if the filing has not been made.</w:t>
      </w:r>
    </w:p>
    <w:p w14:paraId="3E06DA91" w14:textId="77777777" w:rsidR="007916FF" w:rsidRPr="003B37F4" w:rsidRDefault="007916FF" w:rsidP="007916FF">
      <w:pPr>
        <w:tabs>
          <w:tab w:val="left" w:pos="547"/>
          <w:tab w:val="left" w:pos="907"/>
          <w:tab w:val="left" w:pos="1440"/>
          <w:tab w:val="left" w:pos="1987"/>
          <w:tab w:val="left" w:pos="2347"/>
        </w:tabs>
        <w:ind w:left="900"/>
        <w:jc w:val="both"/>
        <w:rPr>
          <w:rFonts w:cs="Arial"/>
          <w:szCs w:val="20"/>
        </w:rPr>
      </w:pPr>
    </w:p>
    <w:p w14:paraId="27FBC578" w14:textId="77777777" w:rsidR="007916FF" w:rsidRPr="003B37F4" w:rsidRDefault="007916FF" w:rsidP="007916FF">
      <w:pPr>
        <w:tabs>
          <w:tab w:val="left" w:pos="547"/>
          <w:tab w:val="left" w:pos="907"/>
          <w:tab w:val="left" w:pos="1440"/>
          <w:tab w:val="left" w:pos="1987"/>
          <w:tab w:val="left" w:pos="2347"/>
        </w:tabs>
        <w:ind w:left="900"/>
        <w:jc w:val="both"/>
        <w:rPr>
          <w:rFonts w:cs="Arial"/>
          <w:szCs w:val="20"/>
        </w:rPr>
      </w:pPr>
      <w:r w:rsidRPr="003B37F4">
        <w:rPr>
          <w:rFonts w:cs="Arial"/>
          <w:szCs w:val="20"/>
        </w:rPr>
        <w:t xml:space="preserve">ORC Section 3709.28 establishes budgetary requirements for the Health District, which are </w:t>
      </w:r>
      <w:proofErr w:type="gramStart"/>
      <w:r w:rsidRPr="003B37F4">
        <w:rPr>
          <w:rFonts w:cs="Arial"/>
          <w:szCs w:val="20"/>
        </w:rPr>
        <w:t>similar to</w:t>
      </w:r>
      <w:proofErr w:type="gramEnd"/>
      <w:r w:rsidRPr="003B37F4">
        <w:rPr>
          <w:rFonts w:cs="Arial"/>
          <w:szCs w:val="20"/>
        </w:rPr>
        <w:t xml:space="preserve"> ORC Chapter 5705 budgetary requirements.  On or about the first Monday of April the Health District must adopt an itemized appropriation measure.  The appropriation measure, together with an itemized estimate of revenues to be collected during the next fiscal year, shall be certified to the county budget commission.  Subject to estimated resources, the Board of Health may, by resolution, transfer appropriations from one appropriation item to another, reduce or increase any item, create new items, and make additional appropriations or reduce the total appropriation.  Such appropriation modifications shall be certified to the county budget commission for approval.</w:t>
      </w:r>
    </w:p>
    <w:p w14:paraId="00D34971" w14:textId="77777777" w:rsidR="007916FF" w:rsidRPr="003B37F4" w:rsidRDefault="007916FF" w:rsidP="007916FF">
      <w:pPr>
        <w:tabs>
          <w:tab w:val="left" w:pos="547"/>
          <w:tab w:val="left" w:pos="907"/>
          <w:tab w:val="left" w:pos="1440"/>
          <w:tab w:val="left" w:pos="1987"/>
          <w:tab w:val="left" w:pos="2347"/>
        </w:tabs>
        <w:jc w:val="both"/>
        <w:rPr>
          <w:rFonts w:cs="Arial"/>
          <w:szCs w:val="20"/>
        </w:rPr>
      </w:pPr>
    </w:p>
    <w:p w14:paraId="44B5140C" w14:textId="77777777" w:rsidR="007916FF" w:rsidRPr="003B37F4" w:rsidRDefault="007916FF" w:rsidP="007916FF">
      <w:pPr>
        <w:tabs>
          <w:tab w:val="left" w:pos="547"/>
          <w:tab w:val="left" w:pos="907"/>
          <w:tab w:val="left" w:pos="1440"/>
          <w:tab w:val="left" w:pos="1987"/>
          <w:tab w:val="left" w:pos="2347"/>
        </w:tabs>
        <w:ind w:left="900"/>
        <w:jc w:val="both"/>
        <w:rPr>
          <w:rFonts w:cs="Arial"/>
          <w:szCs w:val="20"/>
        </w:rPr>
      </w:pPr>
      <w:r w:rsidRPr="003B37F4">
        <w:rPr>
          <w:rFonts w:cs="Arial"/>
          <w:szCs w:val="20"/>
        </w:rPr>
        <w:t>The amounts reported as the original budgeted amounts on the budgetary statements reflect the amounts on the certificate of estimated resources in effect when the original appropriations were adopted.  The amounts reported as the final budgeted amounts on the budgetary statements reflect the amounts on the amended certificate of estimated resources in effect at the time final appropriations were passed by the Board of Health.</w:t>
      </w:r>
    </w:p>
    <w:p w14:paraId="71CED957" w14:textId="77777777" w:rsidR="007916FF" w:rsidRPr="003B37F4" w:rsidRDefault="007916FF" w:rsidP="007916FF">
      <w:pPr>
        <w:tabs>
          <w:tab w:val="left" w:pos="547"/>
          <w:tab w:val="left" w:pos="907"/>
          <w:tab w:val="left" w:pos="1440"/>
          <w:tab w:val="left" w:pos="1987"/>
          <w:tab w:val="left" w:pos="2347"/>
        </w:tabs>
        <w:jc w:val="both"/>
        <w:rPr>
          <w:rFonts w:cs="Arial"/>
          <w:szCs w:val="20"/>
        </w:rPr>
      </w:pPr>
    </w:p>
    <w:p w14:paraId="2774C0C3" w14:textId="77777777" w:rsidR="007916FF" w:rsidRPr="003B37F4" w:rsidRDefault="007916FF" w:rsidP="007916FF">
      <w:pPr>
        <w:tabs>
          <w:tab w:val="left" w:pos="547"/>
          <w:tab w:val="left" w:pos="907"/>
          <w:tab w:val="left" w:pos="1440"/>
          <w:tab w:val="left" w:pos="1987"/>
          <w:tab w:val="left" w:pos="2347"/>
        </w:tabs>
        <w:ind w:left="900"/>
        <w:jc w:val="both"/>
        <w:rPr>
          <w:rFonts w:cs="Arial"/>
          <w:szCs w:val="20"/>
        </w:rPr>
      </w:pPr>
      <w:r w:rsidRPr="003B37F4">
        <w:rPr>
          <w:rFonts w:cs="Arial"/>
          <w:szCs w:val="20"/>
        </w:rPr>
        <w:t xml:space="preserve">The appropriations resolution is subject to amendment throughout the year with the restriction </w:t>
      </w:r>
      <w:r w:rsidRPr="003B37F4">
        <w:rPr>
          <w:rFonts w:cs="Arial"/>
          <w:szCs w:val="20"/>
        </w:rPr>
        <w:lastRenderedPageBreak/>
        <w:t>that appropriations cannot exceed estimated resources.  The amounts reported as the original budget reflect the first appropriation resolution that covered the entire year, including amounts automatically carried forward from prior years.  The amount reported as the final budgeted amounts represents the final appropriations passed by the Board of Health during the year.</w:t>
      </w:r>
    </w:p>
    <w:p w14:paraId="4513D0E1" w14:textId="77777777" w:rsidR="007916FF" w:rsidRPr="003B37F4" w:rsidRDefault="007916FF" w:rsidP="00B61AEF">
      <w:pPr>
        <w:pStyle w:val="Heading3"/>
      </w:pPr>
      <w:r w:rsidRPr="003B37F4">
        <w:tab/>
      </w:r>
      <w:bookmarkStart w:id="66" w:name="_Toc284945540"/>
      <w:bookmarkStart w:id="67" w:name="_Toc315938434"/>
      <w:r w:rsidRPr="003B37F4">
        <w:t>E.</w:t>
      </w:r>
      <w:r w:rsidRPr="003B37F4">
        <w:tab/>
        <w:t>Cash and Investments</w:t>
      </w:r>
      <w:bookmarkEnd w:id="66"/>
      <w:bookmarkEnd w:id="67"/>
    </w:p>
    <w:p w14:paraId="244131FD" w14:textId="77777777" w:rsidR="007916FF" w:rsidRPr="003B37F4" w:rsidRDefault="007916FF" w:rsidP="007916FF">
      <w:pPr>
        <w:tabs>
          <w:tab w:val="left" w:pos="547"/>
          <w:tab w:val="left" w:pos="907"/>
          <w:tab w:val="left" w:pos="1440"/>
          <w:tab w:val="left" w:pos="1987"/>
          <w:tab w:val="left" w:pos="2347"/>
        </w:tabs>
        <w:spacing w:line="216" w:lineRule="auto"/>
        <w:jc w:val="both"/>
        <w:rPr>
          <w:rFonts w:cs="Arial"/>
          <w:szCs w:val="20"/>
        </w:rPr>
      </w:pPr>
    </w:p>
    <w:p w14:paraId="7427801D" w14:textId="77777777" w:rsidR="007916FF" w:rsidRPr="003B37F4" w:rsidRDefault="007916FF" w:rsidP="007916FF">
      <w:pPr>
        <w:tabs>
          <w:tab w:val="left" w:pos="547"/>
          <w:tab w:val="left" w:pos="907"/>
          <w:tab w:val="left" w:pos="1440"/>
          <w:tab w:val="left" w:pos="1987"/>
          <w:tab w:val="left" w:pos="2347"/>
        </w:tabs>
        <w:ind w:left="900"/>
        <w:jc w:val="both"/>
        <w:rPr>
          <w:rStyle w:val="footnoteref"/>
          <w:rFonts w:cs="Arial"/>
          <w:szCs w:val="20"/>
        </w:rPr>
      </w:pPr>
      <w:r w:rsidRPr="003B37F4">
        <w:rPr>
          <w:rFonts w:cs="Arial"/>
          <w:szCs w:val="20"/>
        </w:rPr>
        <w:t xml:space="preserve">The Champaign County Treasurer is the custodian for the Health District’s cash and investments.  The County’s cash and investment pool holds the Health District’s cash and investments, which are reported at the County Treasurer’s carrying amount.  Deposits and investments disclosures for the County as a whole may be obtained from the Champaign County Auditor, </w:t>
      </w:r>
      <w:r w:rsidRPr="003B37F4">
        <w:rPr>
          <w:rStyle w:val="footnoteref"/>
          <w:rFonts w:cs="Arial"/>
          <w:szCs w:val="20"/>
        </w:rPr>
        <w:t xml:space="preserve">1512 S. US Highway 68, Suite B300, Urbana, </w:t>
      </w:r>
      <w:proofErr w:type="gramStart"/>
      <w:r w:rsidRPr="003B37F4">
        <w:rPr>
          <w:rStyle w:val="footnoteref"/>
          <w:rFonts w:cs="Arial"/>
          <w:szCs w:val="20"/>
        </w:rPr>
        <w:t>Ohio  43078</w:t>
      </w:r>
      <w:proofErr w:type="gramEnd"/>
      <w:r w:rsidRPr="003B37F4">
        <w:rPr>
          <w:rStyle w:val="footnoteref"/>
          <w:rFonts w:cs="Arial"/>
          <w:szCs w:val="20"/>
        </w:rPr>
        <w:t>, (937) 484-1555.</w:t>
      </w:r>
    </w:p>
    <w:p w14:paraId="2A6AC422" w14:textId="77777777" w:rsidR="002B3498" w:rsidRPr="003B37F4" w:rsidRDefault="007916FF" w:rsidP="00B61AEF">
      <w:pPr>
        <w:pStyle w:val="Heading3"/>
      </w:pPr>
      <w:r w:rsidRPr="003B37F4">
        <w:tab/>
      </w:r>
      <w:bookmarkStart w:id="68" w:name="_Toc315938435"/>
      <w:bookmarkStart w:id="69" w:name="_Toc284945541"/>
      <w:r w:rsidRPr="003B37F4">
        <w:t>F.</w:t>
      </w:r>
      <w:r w:rsidR="002B3498" w:rsidRPr="003B37F4">
        <w:tab/>
        <w:t>Restricted Assets</w:t>
      </w:r>
      <w:bookmarkEnd w:id="68"/>
      <w:r w:rsidRPr="003B37F4">
        <w:tab/>
      </w:r>
    </w:p>
    <w:p w14:paraId="5CF31FE5" w14:textId="77777777" w:rsidR="002B3498" w:rsidRPr="003B37F4" w:rsidRDefault="002B3498" w:rsidP="002B3498">
      <w:r w:rsidRPr="003B37F4">
        <w:tab/>
      </w:r>
    </w:p>
    <w:p w14:paraId="761B8255" w14:textId="77777777" w:rsidR="002B3498" w:rsidRPr="003B37F4" w:rsidRDefault="002B3498" w:rsidP="002B3498">
      <w:pPr>
        <w:ind w:left="885"/>
      </w:pPr>
      <w:r w:rsidRPr="003B37F4">
        <w:t xml:space="preserve">Assets are reported as restricted when limitations on their use change the nature or normal understanding of the availability of the asset.  Such constraints are either externally imposed by creditors, contributors, grantors, or laws of other governments, or are imposed by law through constitutional provisions or enabling legislation.  </w:t>
      </w:r>
    </w:p>
    <w:p w14:paraId="1863F789" w14:textId="77777777" w:rsidR="007916FF" w:rsidRPr="003B37F4" w:rsidRDefault="002B3498" w:rsidP="002B3498">
      <w:pPr>
        <w:pStyle w:val="Heading3"/>
        <w:ind w:firstLine="720"/>
      </w:pPr>
      <w:bookmarkStart w:id="70" w:name="_Toc315938436"/>
      <w:r w:rsidRPr="003B37F4">
        <w:t xml:space="preserve">G. </w:t>
      </w:r>
      <w:r w:rsidRPr="003B37F4">
        <w:tab/>
      </w:r>
      <w:r w:rsidR="007916FF" w:rsidRPr="003B37F4">
        <w:t>Inventory and Prepaid Items</w:t>
      </w:r>
      <w:bookmarkEnd w:id="69"/>
      <w:bookmarkEnd w:id="70"/>
    </w:p>
    <w:p w14:paraId="4E1BF199" w14:textId="77777777" w:rsidR="007916FF" w:rsidRPr="003B37F4" w:rsidRDefault="007916FF" w:rsidP="007916FF">
      <w:pPr>
        <w:tabs>
          <w:tab w:val="left" w:pos="547"/>
          <w:tab w:val="left" w:pos="907"/>
          <w:tab w:val="left" w:pos="1440"/>
          <w:tab w:val="left" w:pos="1987"/>
          <w:tab w:val="left" w:pos="2347"/>
        </w:tabs>
        <w:spacing w:line="216" w:lineRule="auto"/>
        <w:jc w:val="both"/>
        <w:rPr>
          <w:rFonts w:cs="Arial"/>
          <w:szCs w:val="20"/>
        </w:rPr>
      </w:pPr>
    </w:p>
    <w:p w14:paraId="21106894" w14:textId="77777777" w:rsidR="007916FF" w:rsidRPr="003B37F4" w:rsidRDefault="007916FF" w:rsidP="007916FF">
      <w:pPr>
        <w:tabs>
          <w:tab w:val="left" w:pos="547"/>
          <w:tab w:val="left" w:pos="907"/>
          <w:tab w:val="left" w:pos="1440"/>
          <w:tab w:val="left" w:pos="1987"/>
          <w:tab w:val="left" w:pos="2347"/>
        </w:tabs>
        <w:ind w:left="900"/>
        <w:jc w:val="both"/>
        <w:rPr>
          <w:rFonts w:cs="Arial"/>
          <w:szCs w:val="20"/>
        </w:rPr>
      </w:pPr>
      <w:r w:rsidRPr="003B37F4">
        <w:rPr>
          <w:rFonts w:cs="Arial"/>
          <w:szCs w:val="20"/>
        </w:rPr>
        <w:t>The Health District reports disbursements for inventory and prepaid items when paid.  These items are not reflected as assets in the accompanying financial statements.</w:t>
      </w:r>
    </w:p>
    <w:p w14:paraId="0D88C21F" w14:textId="77777777" w:rsidR="007916FF" w:rsidRPr="003B37F4" w:rsidRDefault="007916FF" w:rsidP="00B61AEF">
      <w:pPr>
        <w:pStyle w:val="Heading3"/>
      </w:pPr>
      <w:r w:rsidRPr="003B37F4">
        <w:tab/>
      </w:r>
      <w:bookmarkStart w:id="71" w:name="_Toc284945542"/>
      <w:bookmarkStart w:id="72" w:name="_Toc315938437"/>
      <w:r w:rsidR="002B3498" w:rsidRPr="003B37F4">
        <w:t>H</w:t>
      </w:r>
      <w:r w:rsidRPr="003B37F4">
        <w:t>.</w:t>
      </w:r>
      <w:r w:rsidRPr="003B37F4">
        <w:tab/>
        <w:t>Capital Assets</w:t>
      </w:r>
      <w:bookmarkEnd w:id="71"/>
      <w:bookmarkEnd w:id="72"/>
    </w:p>
    <w:p w14:paraId="528BD642" w14:textId="77777777" w:rsidR="007916FF" w:rsidRPr="003B37F4" w:rsidRDefault="007916FF" w:rsidP="007916FF">
      <w:pPr>
        <w:tabs>
          <w:tab w:val="left" w:pos="547"/>
          <w:tab w:val="left" w:pos="907"/>
          <w:tab w:val="left" w:pos="1440"/>
          <w:tab w:val="left" w:pos="1987"/>
          <w:tab w:val="left" w:pos="2347"/>
        </w:tabs>
        <w:spacing w:line="216" w:lineRule="auto"/>
        <w:jc w:val="both"/>
        <w:rPr>
          <w:rFonts w:cs="Arial"/>
          <w:szCs w:val="20"/>
        </w:rPr>
      </w:pPr>
    </w:p>
    <w:p w14:paraId="59A78841" w14:textId="77777777" w:rsidR="007916FF" w:rsidRPr="003B37F4" w:rsidRDefault="007916FF" w:rsidP="007916FF">
      <w:pPr>
        <w:tabs>
          <w:tab w:val="left" w:pos="547"/>
          <w:tab w:val="left" w:pos="907"/>
          <w:tab w:val="left" w:pos="1440"/>
          <w:tab w:val="left" w:pos="1987"/>
          <w:tab w:val="left" w:pos="2347"/>
        </w:tabs>
        <w:ind w:left="900"/>
        <w:jc w:val="both"/>
        <w:rPr>
          <w:rFonts w:cs="Arial"/>
          <w:szCs w:val="20"/>
        </w:rPr>
      </w:pPr>
      <w:r w:rsidRPr="003B37F4">
        <w:rPr>
          <w:rFonts w:cs="Arial"/>
          <w:szCs w:val="20"/>
        </w:rPr>
        <w:t>Acquisitions of property, plant and equipment are recorded as disbursements when paid.  These items are not reflected as assets in the accompanying financial statements.</w:t>
      </w:r>
    </w:p>
    <w:p w14:paraId="0B22FD22" w14:textId="77777777" w:rsidR="007916FF" w:rsidRPr="003B37F4" w:rsidRDefault="007916FF" w:rsidP="00B61AEF">
      <w:pPr>
        <w:pStyle w:val="Heading3"/>
      </w:pPr>
      <w:r w:rsidRPr="003B37F4">
        <w:tab/>
      </w:r>
      <w:bookmarkStart w:id="73" w:name="_Toc284945543"/>
      <w:bookmarkStart w:id="74" w:name="_Toc315938438"/>
      <w:r w:rsidR="002B3498" w:rsidRPr="003B37F4">
        <w:t>I</w:t>
      </w:r>
      <w:r w:rsidRPr="003B37F4">
        <w:t>.</w:t>
      </w:r>
      <w:r w:rsidRPr="003B37F4">
        <w:tab/>
        <w:t>Interfund Receivables/Payables</w:t>
      </w:r>
      <w:bookmarkEnd w:id="73"/>
      <w:bookmarkEnd w:id="74"/>
    </w:p>
    <w:p w14:paraId="5855BAD2" w14:textId="77777777" w:rsidR="007916FF" w:rsidRPr="003B37F4" w:rsidRDefault="007916FF" w:rsidP="007916FF">
      <w:pPr>
        <w:tabs>
          <w:tab w:val="left" w:pos="547"/>
          <w:tab w:val="left" w:pos="907"/>
          <w:tab w:val="left" w:pos="1440"/>
          <w:tab w:val="left" w:pos="1987"/>
          <w:tab w:val="left" w:pos="2347"/>
        </w:tabs>
        <w:spacing w:line="216" w:lineRule="auto"/>
        <w:jc w:val="both"/>
        <w:rPr>
          <w:rFonts w:cs="Arial"/>
          <w:szCs w:val="20"/>
        </w:rPr>
      </w:pPr>
    </w:p>
    <w:p w14:paraId="6BECF057" w14:textId="77777777" w:rsidR="007916FF" w:rsidRPr="003B37F4" w:rsidRDefault="007916FF" w:rsidP="007916FF">
      <w:pPr>
        <w:tabs>
          <w:tab w:val="left" w:pos="547"/>
          <w:tab w:val="left" w:pos="907"/>
          <w:tab w:val="left" w:pos="1440"/>
          <w:tab w:val="left" w:pos="1987"/>
          <w:tab w:val="left" w:pos="2347"/>
        </w:tabs>
        <w:ind w:left="900"/>
        <w:jc w:val="both"/>
        <w:rPr>
          <w:rFonts w:cs="Arial"/>
          <w:szCs w:val="20"/>
        </w:rPr>
      </w:pPr>
      <w:r w:rsidRPr="003B37F4">
        <w:rPr>
          <w:rFonts w:cs="Arial"/>
          <w:szCs w:val="20"/>
        </w:rPr>
        <w:t>The Health District reports advances-in and advances-out for interfund loans.  These items are not reflected as assets and liabilities in the accompanying financial statements.</w:t>
      </w:r>
    </w:p>
    <w:p w14:paraId="7BCD2294" w14:textId="77777777" w:rsidR="007916FF" w:rsidRPr="003B37F4" w:rsidRDefault="007916FF" w:rsidP="00B61AEF">
      <w:pPr>
        <w:pStyle w:val="Heading3"/>
      </w:pPr>
      <w:r w:rsidRPr="003B37F4">
        <w:tab/>
      </w:r>
      <w:bookmarkStart w:id="75" w:name="_Toc284945544"/>
      <w:bookmarkStart w:id="76" w:name="_Toc315938439"/>
      <w:r w:rsidR="002B3498" w:rsidRPr="003B37F4">
        <w:t>J</w:t>
      </w:r>
      <w:r w:rsidRPr="003B37F4">
        <w:t>.</w:t>
      </w:r>
      <w:r w:rsidRPr="003B37F4">
        <w:tab/>
        <w:t>Accumulated Leave</w:t>
      </w:r>
      <w:bookmarkEnd w:id="75"/>
      <w:bookmarkEnd w:id="76"/>
    </w:p>
    <w:p w14:paraId="07B4740A" w14:textId="77777777" w:rsidR="007916FF" w:rsidRPr="003B37F4" w:rsidRDefault="007916FF" w:rsidP="007916FF">
      <w:pPr>
        <w:tabs>
          <w:tab w:val="left" w:pos="547"/>
          <w:tab w:val="left" w:pos="907"/>
          <w:tab w:val="left" w:pos="1440"/>
          <w:tab w:val="left" w:pos="1987"/>
          <w:tab w:val="left" w:pos="2347"/>
        </w:tabs>
        <w:spacing w:line="216" w:lineRule="auto"/>
        <w:jc w:val="both"/>
        <w:rPr>
          <w:rFonts w:cs="Arial"/>
          <w:szCs w:val="20"/>
        </w:rPr>
      </w:pPr>
    </w:p>
    <w:p w14:paraId="30D4693E" w14:textId="77777777" w:rsidR="007916FF" w:rsidRPr="003B37F4" w:rsidRDefault="007916FF" w:rsidP="007916FF">
      <w:pPr>
        <w:tabs>
          <w:tab w:val="left" w:pos="547"/>
          <w:tab w:val="left" w:pos="907"/>
          <w:tab w:val="left" w:pos="1440"/>
          <w:tab w:val="left" w:pos="1987"/>
          <w:tab w:val="left" w:pos="2347"/>
        </w:tabs>
        <w:ind w:left="900"/>
        <w:jc w:val="both"/>
        <w:rPr>
          <w:rFonts w:cs="Arial"/>
          <w:szCs w:val="20"/>
        </w:rPr>
      </w:pPr>
      <w:r w:rsidRPr="003B37F4">
        <w:rPr>
          <w:rFonts w:cs="Arial"/>
          <w:szCs w:val="20"/>
        </w:rPr>
        <w:t>In certain circumstances, such as upon leaving employment or retirement, employees are entitled to cash payments for unused leave.  Unpaid leave is not reflected as a liability under the Health District’s cash basis of accounting.</w:t>
      </w:r>
    </w:p>
    <w:p w14:paraId="5FD63F8C" w14:textId="77777777" w:rsidR="007916FF" w:rsidRPr="003B37F4" w:rsidRDefault="007916FF" w:rsidP="00B61AEF">
      <w:pPr>
        <w:pStyle w:val="Heading3"/>
      </w:pPr>
      <w:r w:rsidRPr="003B37F4">
        <w:tab/>
      </w:r>
      <w:bookmarkStart w:id="77" w:name="_Toc284945545"/>
      <w:bookmarkStart w:id="78" w:name="_Toc315938440"/>
      <w:r w:rsidR="002B3498" w:rsidRPr="003B37F4">
        <w:t>K</w:t>
      </w:r>
      <w:r w:rsidRPr="003B37F4">
        <w:t>.</w:t>
      </w:r>
      <w:r w:rsidRPr="003B37F4">
        <w:tab/>
        <w:t>Employer Contributions to Cost-Sharing Pension Plans</w:t>
      </w:r>
      <w:bookmarkEnd w:id="77"/>
      <w:bookmarkEnd w:id="78"/>
    </w:p>
    <w:p w14:paraId="3950B766" w14:textId="77777777" w:rsidR="007916FF" w:rsidRPr="003B37F4" w:rsidRDefault="007916FF" w:rsidP="007916FF">
      <w:pPr>
        <w:tabs>
          <w:tab w:val="left" w:pos="547"/>
          <w:tab w:val="left" w:pos="907"/>
          <w:tab w:val="left" w:pos="1440"/>
          <w:tab w:val="left" w:pos="1987"/>
          <w:tab w:val="left" w:pos="2347"/>
        </w:tabs>
        <w:spacing w:line="216" w:lineRule="auto"/>
        <w:jc w:val="both"/>
        <w:rPr>
          <w:rFonts w:cs="Arial"/>
          <w:szCs w:val="20"/>
        </w:rPr>
      </w:pPr>
    </w:p>
    <w:p w14:paraId="6898A037" w14:textId="77777777" w:rsidR="007916FF" w:rsidRPr="003B37F4" w:rsidRDefault="007916FF" w:rsidP="007916FF">
      <w:pPr>
        <w:tabs>
          <w:tab w:val="left" w:pos="547"/>
          <w:tab w:val="left" w:pos="907"/>
          <w:tab w:val="left" w:pos="1440"/>
          <w:tab w:val="left" w:pos="1987"/>
          <w:tab w:val="left" w:pos="2347"/>
        </w:tabs>
        <w:ind w:left="900"/>
        <w:jc w:val="both"/>
        <w:rPr>
          <w:rFonts w:cs="Arial"/>
          <w:szCs w:val="20"/>
        </w:rPr>
      </w:pPr>
      <w:r w:rsidRPr="003B37F4">
        <w:rPr>
          <w:rFonts w:cs="Arial"/>
          <w:szCs w:val="20"/>
        </w:rPr>
        <w:t>The Health District recognizes the disbursement for employer contributions to cost-sharing pension plans when they are paid.  As described in Notes 7 and 8, the employer contributions include portions for pension benefits and for postretirement health care benefits.</w:t>
      </w:r>
    </w:p>
    <w:p w14:paraId="424747DB" w14:textId="77777777" w:rsidR="007916FF" w:rsidRPr="003B37F4" w:rsidRDefault="007916FF" w:rsidP="00B61AEF">
      <w:pPr>
        <w:pStyle w:val="Heading3"/>
      </w:pPr>
      <w:r w:rsidRPr="003B37F4">
        <w:tab/>
      </w:r>
      <w:bookmarkStart w:id="79" w:name="_Toc284945546"/>
      <w:bookmarkStart w:id="80" w:name="_Toc315938441"/>
      <w:r w:rsidR="002B3498" w:rsidRPr="003B37F4">
        <w:t>L</w:t>
      </w:r>
      <w:r w:rsidRPr="003B37F4">
        <w:t>.</w:t>
      </w:r>
      <w:r w:rsidRPr="003B37F4">
        <w:tab/>
        <w:t>Long-Term Obligations</w:t>
      </w:r>
      <w:bookmarkEnd w:id="79"/>
      <w:bookmarkEnd w:id="80"/>
    </w:p>
    <w:p w14:paraId="439C6949" w14:textId="77777777" w:rsidR="007916FF" w:rsidRPr="003B37F4" w:rsidRDefault="007916FF" w:rsidP="007916FF">
      <w:pPr>
        <w:tabs>
          <w:tab w:val="left" w:pos="547"/>
          <w:tab w:val="left" w:pos="907"/>
          <w:tab w:val="left" w:pos="1440"/>
          <w:tab w:val="left" w:pos="1987"/>
          <w:tab w:val="left" w:pos="2347"/>
        </w:tabs>
        <w:spacing w:line="216" w:lineRule="auto"/>
        <w:jc w:val="both"/>
        <w:rPr>
          <w:rFonts w:cs="Arial"/>
          <w:szCs w:val="20"/>
        </w:rPr>
      </w:pPr>
    </w:p>
    <w:p w14:paraId="627FEF5B" w14:textId="77777777" w:rsidR="007916FF" w:rsidRPr="003B37F4" w:rsidRDefault="007916FF" w:rsidP="007916FF">
      <w:pPr>
        <w:tabs>
          <w:tab w:val="left" w:pos="547"/>
          <w:tab w:val="left" w:pos="907"/>
          <w:tab w:val="left" w:pos="1440"/>
          <w:tab w:val="left" w:pos="1987"/>
          <w:tab w:val="left" w:pos="2347"/>
        </w:tabs>
        <w:ind w:left="900"/>
        <w:jc w:val="both"/>
        <w:rPr>
          <w:rFonts w:cs="Arial"/>
          <w:szCs w:val="20"/>
        </w:rPr>
      </w:pPr>
      <w:r w:rsidRPr="003B37F4">
        <w:rPr>
          <w:rFonts w:cs="Arial"/>
          <w:szCs w:val="20"/>
        </w:rPr>
        <w:t xml:space="preserve">The Health District’s cash basis financial statements do not report liabilities for long-term obligations.  Proceeds of debt are reported when the cash is </w:t>
      </w:r>
      <w:proofErr w:type="gramStart"/>
      <w:r w:rsidRPr="003B37F4">
        <w:rPr>
          <w:rFonts w:cs="Arial"/>
          <w:szCs w:val="20"/>
        </w:rPr>
        <w:t>received</w:t>
      </w:r>
      <w:proofErr w:type="gramEnd"/>
      <w:r w:rsidRPr="003B37F4">
        <w:rPr>
          <w:rFonts w:cs="Arial"/>
          <w:szCs w:val="20"/>
        </w:rPr>
        <w:t xml:space="preserve"> and principal and interest payments are reported when paid.  </w:t>
      </w:r>
      <w:r w:rsidR="00CF3CF6" w:rsidRPr="003B37F4">
        <w:rPr>
          <w:rFonts w:cs="Arial"/>
          <w:szCs w:val="20"/>
        </w:rPr>
        <w:t xml:space="preserve">Since recording a capital asset when </w:t>
      </w:r>
      <w:proofErr w:type="gramStart"/>
      <w:r w:rsidR="00CF3CF6" w:rsidRPr="003B37F4">
        <w:rPr>
          <w:rFonts w:cs="Arial"/>
          <w:szCs w:val="20"/>
        </w:rPr>
        <w:t>entering into</w:t>
      </w:r>
      <w:proofErr w:type="gramEnd"/>
      <w:r w:rsidR="00CF3CF6" w:rsidRPr="003B37F4">
        <w:rPr>
          <w:rFonts w:cs="Arial"/>
          <w:szCs w:val="20"/>
        </w:rPr>
        <w:t xml:space="preserve"> a capital lease is not the result of a cash transaction, neither another financing source nor capital outlay expenditure is reported at inception.  </w:t>
      </w:r>
      <w:r w:rsidRPr="003B37F4">
        <w:rPr>
          <w:rFonts w:cs="Arial"/>
          <w:szCs w:val="20"/>
        </w:rPr>
        <w:t>Lease payments are reported when paid.</w:t>
      </w:r>
    </w:p>
    <w:p w14:paraId="610E6E18" w14:textId="77777777" w:rsidR="007916FF" w:rsidRPr="003B37F4" w:rsidRDefault="002B3498" w:rsidP="00B61AEF">
      <w:pPr>
        <w:pStyle w:val="Heading3"/>
        <w:ind w:firstLine="720"/>
      </w:pPr>
      <w:bookmarkStart w:id="81" w:name="_Toc284945547"/>
      <w:bookmarkStart w:id="82" w:name="_Toc315938442"/>
      <w:r w:rsidRPr="003B37F4">
        <w:t>M</w:t>
      </w:r>
      <w:r w:rsidR="007916FF" w:rsidRPr="003B37F4">
        <w:t>.</w:t>
      </w:r>
      <w:r w:rsidR="007916FF" w:rsidRPr="003B37F4">
        <w:tab/>
        <w:t>Fund Balance Reserves</w:t>
      </w:r>
      <w:bookmarkEnd w:id="81"/>
      <w:bookmarkEnd w:id="82"/>
    </w:p>
    <w:p w14:paraId="01A2681D" w14:textId="77777777" w:rsidR="007916FF" w:rsidRPr="003B37F4" w:rsidRDefault="007916FF" w:rsidP="007916FF">
      <w:pPr>
        <w:tabs>
          <w:tab w:val="left" w:pos="547"/>
          <w:tab w:val="left" w:pos="907"/>
          <w:tab w:val="left" w:pos="1440"/>
          <w:tab w:val="left" w:pos="1987"/>
          <w:tab w:val="left" w:pos="2347"/>
        </w:tabs>
        <w:jc w:val="both"/>
        <w:rPr>
          <w:rFonts w:cs="Arial"/>
          <w:szCs w:val="20"/>
        </w:rPr>
      </w:pPr>
    </w:p>
    <w:p w14:paraId="4E80C865" w14:textId="77777777" w:rsidR="002B3498" w:rsidRPr="003B37F4" w:rsidRDefault="002B3498" w:rsidP="002B3498">
      <w:pPr>
        <w:ind w:left="720"/>
        <w:jc w:val="both"/>
        <w:rPr>
          <w:szCs w:val="20"/>
        </w:rPr>
      </w:pPr>
      <w:bookmarkStart w:id="83" w:name="_Toc284945548"/>
      <w:r w:rsidRPr="003B37F4">
        <w:rPr>
          <w:szCs w:val="20"/>
        </w:rPr>
        <w:t xml:space="preserve">Fund balance is divided into five classifications based primarily on the extent to which the Health </w:t>
      </w:r>
      <w:r w:rsidRPr="003B37F4">
        <w:rPr>
          <w:szCs w:val="20"/>
        </w:rPr>
        <w:lastRenderedPageBreak/>
        <w:t>District is bound to observe constraints imposed upon the use of the resources in the governmental funds.  The classifications are as follows:</w:t>
      </w:r>
    </w:p>
    <w:p w14:paraId="3D94BCCF" w14:textId="77777777" w:rsidR="002B3498" w:rsidRPr="003B37F4" w:rsidRDefault="002B3498" w:rsidP="002B3498">
      <w:pPr>
        <w:jc w:val="both"/>
        <w:rPr>
          <w:szCs w:val="20"/>
        </w:rPr>
      </w:pPr>
    </w:p>
    <w:p w14:paraId="0E1C28A5" w14:textId="77777777" w:rsidR="002B3498" w:rsidRPr="003B37F4" w:rsidRDefault="002B3498" w:rsidP="002B3498">
      <w:pPr>
        <w:ind w:left="720"/>
        <w:jc w:val="both"/>
        <w:rPr>
          <w:szCs w:val="20"/>
        </w:rPr>
      </w:pPr>
      <w:proofErr w:type="spellStart"/>
      <w:r w:rsidRPr="003B37F4">
        <w:rPr>
          <w:b/>
          <w:i/>
          <w:szCs w:val="20"/>
        </w:rPr>
        <w:t>Nonspendable</w:t>
      </w:r>
      <w:proofErr w:type="spellEnd"/>
      <w:r w:rsidRPr="003B37F4">
        <w:rPr>
          <w:i/>
          <w:szCs w:val="20"/>
        </w:rPr>
        <w:t xml:space="preserve">   </w:t>
      </w:r>
      <w:r w:rsidRPr="003B37F4">
        <w:rPr>
          <w:szCs w:val="20"/>
        </w:rPr>
        <w:t xml:space="preserve">The </w:t>
      </w:r>
      <w:proofErr w:type="spellStart"/>
      <w:r w:rsidRPr="003B37F4">
        <w:rPr>
          <w:szCs w:val="20"/>
        </w:rPr>
        <w:t>nonspendable</w:t>
      </w:r>
      <w:proofErr w:type="spellEnd"/>
      <w:r w:rsidRPr="003B37F4">
        <w:rPr>
          <w:szCs w:val="20"/>
        </w:rPr>
        <w:t xml:space="preserve"> fund balance category includes amounts that cannot be spent because they are not in spendable </w:t>
      </w:r>
      <w:proofErr w:type="gramStart"/>
      <w:r w:rsidRPr="003B37F4">
        <w:rPr>
          <w:szCs w:val="20"/>
        </w:rPr>
        <w:t>form, or</w:t>
      </w:r>
      <w:proofErr w:type="gramEnd"/>
      <w:r w:rsidRPr="003B37F4">
        <w:rPr>
          <w:szCs w:val="20"/>
        </w:rPr>
        <w:t xml:space="preserve"> are legally or contractually required to be maintained intact.  The “not in spendable form” criterion includes items that are not expected to be converted to cash.  It also includes the long-term amount of interfund loans.</w:t>
      </w:r>
    </w:p>
    <w:p w14:paraId="694FF471" w14:textId="77777777" w:rsidR="002B3498" w:rsidRPr="003B37F4" w:rsidRDefault="002B3498" w:rsidP="002B3498">
      <w:pPr>
        <w:jc w:val="both"/>
        <w:rPr>
          <w:szCs w:val="20"/>
        </w:rPr>
      </w:pPr>
    </w:p>
    <w:p w14:paraId="3B617D3A" w14:textId="77777777" w:rsidR="002B3498" w:rsidRPr="003B37F4" w:rsidRDefault="002B3498" w:rsidP="002B3498">
      <w:pPr>
        <w:ind w:left="720"/>
        <w:jc w:val="both"/>
        <w:rPr>
          <w:szCs w:val="20"/>
        </w:rPr>
      </w:pPr>
      <w:r w:rsidRPr="003B37F4">
        <w:rPr>
          <w:b/>
          <w:i/>
          <w:szCs w:val="20"/>
        </w:rPr>
        <w:t>Restricted</w:t>
      </w:r>
      <w:r w:rsidRPr="003B37F4">
        <w:rPr>
          <w:szCs w:val="20"/>
        </w:rPr>
        <w:t xml:space="preserve">   Fund balance is reported as restricted when constraints placed on the use of resources are either externally imposed by creditors (such as through debt covenants), grantors, contributors, or laws or regulations of other governments; or is imposed by law through constitutional provisions.</w:t>
      </w:r>
    </w:p>
    <w:p w14:paraId="260DDC4F" w14:textId="77777777" w:rsidR="002B3498" w:rsidRPr="003B37F4" w:rsidRDefault="002B3498" w:rsidP="002B3498">
      <w:pPr>
        <w:ind w:left="720"/>
        <w:jc w:val="both"/>
        <w:rPr>
          <w:szCs w:val="20"/>
        </w:rPr>
      </w:pPr>
    </w:p>
    <w:p w14:paraId="7CC98C0D" w14:textId="77777777" w:rsidR="002B3498" w:rsidRPr="003B37F4" w:rsidRDefault="002B3498" w:rsidP="002B3498">
      <w:pPr>
        <w:ind w:left="720"/>
        <w:jc w:val="both"/>
        <w:rPr>
          <w:szCs w:val="20"/>
        </w:rPr>
      </w:pPr>
      <w:r w:rsidRPr="003B37F4">
        <w:rPr>
          <w:b/>
          <w:i/>
          <w:szCs w:val="20"/>
        </w:rPr>
        <w:t>Committed</w:t>
      </w:r>
      <w:r w:rsidRPr="003B37F4">
        <w:rPr>
          <w:szCs w:val="20"/>
        </w:rPr>
        <w:t xml:space="preserve">   The committed fund balance classification includes amounts that can be used only for the specific purposes imposed by formal action (resolution) of the Board of Health.  Those committed amounts cannot be used for any other purpose unless the Board of Health removes or changes the specified use by taking the same type of action (resolution) it employed to previously commit those amounts.  In contrast to fund balance that is restricted by enabling legislation, the committed fund balance classification may be redeployed for other purposes with appropriate due process.  Constraints imposed on the use of committed amounts are imposed by the Board of Health, separate from the authorization to raise the underlying revenue; therefore, compliance with these constraints is not considered to be legally enforceable.  Committed fund balance also incorporates contractual obligations to the extent that existing resources in the fund have been specifically committed for use in satisfying those contractual requirements.</w:t>
      </w:r>
    </w:p>
    <w:p w14:paraId="5B0EC841" w14:textId="77777777" w:rsidR="002B3498" w:rsidRPr="003B37F4" w:rsidRDefault="002B3498" w:rsidP="002B3498">
      <w:pPr>
        <w:ind w:left="720"/>
        <w:jc w:val="both"/>
        <w:rPr>
          <w:szCs w:val="20"/>
        </w:rPr>
      </w:pPr>
    </w:p>
    <w:p w14:paraId="6125576D" w14:textId="77777777" w:rsidR="002B3498" w:rsidRPr="003B37F4" w:rsidRDefault="002B3498" w:rsidP="002B3498">
      <w:pPr>
        <w:ind w:left="720"/>
        <w:jc w:val="both"/>
        <w:rPr>
          <w:szCs w:val="20"/>
        </w:rPr>
      </w:pPr>
      <w:r w:rsidRPr="003B37F4">
        <w:rPr>
          <w:b/>
          <w:i/>
          <w:szCs w:val="20"/>
        </w:rPr>
        <w:t>Assigned</w:t>
      </w:r>
      <w:r w:rsidRPr="003B37F4">
        <w:rPr>
          <w:szCs w:val="20"/>
        </w:rPr>
        <w:t xml:space="preserve">   Amounts in the assigned fund balance classification are intended to be used by the Health District for specific purposes but do not meet the criteria to be classified as restricted or committed.  In governmental funds other than the general fund, assigned fund balance represents the remaining amount that is not restricted or committed.  In the general fund, assigned amounts represent intended uses established by the Board of Health or a Health District official delegated that authority by resolution, or by State Statute.</w:t>
      </w:r>
    </w:p>
    <w:p w14:paraId="7097ED6D" w14:textId="77777777" w:rsidR="002B3498" w:rsidRPr="003B37F4" w:rsidRDefault="002B3498" w:rsidP="002B3498">
      <w:pPr>
        <w:ind w:left="720"/>
        <w:jc w:val="both"/>
        <w:rPr>
          <w:szCs w:val="20"/>
        </w:rPr>
      </w:pPr>
    </w:p>
    <w:p w14:paraId="0F7C5FF8" w14:textId="77777777" w:rsidR="002B3498" w:rsidRPr="003B37F4" w:rsidRDefault="002B3498" w:rsidP="002B3498">
      <w:pPr>
        <w:ind w:left="720"/>
        <w:jc w:val="both"/>
        <w:rPr>
          <w:szCs w:val="20"/>
        </w:rPr>
      </w:pPr>
      <w:r w:rsidRPr="003B37F4">
        <w:rPr>
          <w:b/>
          <w:i/>
          <w:szCs w:val="20"/>
        </w:rPr>
        <w:t>Unassigned</w:t>
      </w:r>
      <w:r w:rsidRPr="003B37F4">
        <w:rPr>
          <w:szCs w:val="20"/>
        </w:rPr>
        <w:t xml:space="preserve">   </w:t>
      </w:r>
      <w:proofErr w:type="spellStart"/>
      <w:r w:rsidRPr="003B37F4">
        <w:rPr>
          <w:szCs w:val="20"/>
        </w:rPr>
        <w:t>Unassigned</w:t>
      </w:r>
      <w:proofErr w:type="spellEnd"/>
      <w:r w:rsidRPr="003B37F4">
        <w:rPr>
          <w:szCs w:val="20"/>
        </w:rPr>
        <w:t xml:space="preserve"> fund balance is the residual classification for the general fund and includes amounts not contained in the other classifications.  In other governmental funds, the unassigned classification is used only to report a deficit balance.</w:t>
      </w:r>
    </w:p>
    <w:p w14:paraId="317A59D4" w14:textId="77777777" w:rsidR="002B3498" w:rsidRPr="003B37F4" w:rsidRDefault="002B3498" w:rsidP="002B3498">
      <w:pPr>
        <w:jc w:val="both"/>
        <w:rPr>
          <w:szCs w:val="20"/>
        </w:rPr>
      </w:pPr>
    </w:p>
    <w:p w14:paraId="3DD4DE5A" w14:textId="77777777" w:rsidR="002B3498" w:rsidRPr="003B37F4" w:rsidRDefault="002B3498" w:rsidP="002B3498">
      <w:pPr>
        <w:ind w:left="720"/>
        <w:jc w:val="both"/>
        <w:rPr>
          <w:szCs w:val="20"/>
        </w:rPr>
      </w:pPr>
      <w:r w:rsidRPr="003B37F4">
        <w:rPr>
          <w:szCs w:val="20"/>
        </w:rPr>
        <w:t>The Health District applies restricted resources first when expenditures are incurred for purposes for which either restricted or unrestricted (committed, assigned, and unassigned) amounts are available.  Similarly, within unrestricted fund balance, committed amounts are reduced first followed by assigned, and then unassigned amounts when expenditures are incurred for purposes for which amounts in any of the unrestricted fund balance classifications could be used.</w:t>
      </w:r>
    </w:p>
    <w:p w14:paraId="2A62EF59" w14:textId="77777777" w:rsidR="007916FF" w:rsidRPr="003B37F4" w:rsidRDefault="002B3498" w:rsidP="003A66B5">
      <w:pPr>
        <w:pStyle w:val="Heading3"/>
        <w:ind w:firstLine="720"/>
      </w:pPr>
      <w:bookmarkStart w:id="84" w:name="_Toc315938443"/>
      <w:r w:rsidRPr="003B37F4">
        <w:t>N</w:t>
      </w:r>
      <w:r w:rsidR="007916FF" w:rsidRPr="003B37F4">
        <w:t>.</w:t>
      </w:r>
      <w:r w:rsidR="007916FF" w:rsidRPr="003B37F4">
        <w:tab/>
        <w:t>Interfund Transactions</w:t>
      </w:r>
      <w:bookmarkEnd w:id="83"/>
      <w:bookmarkEnd w:id="84"/>
    </w:p>
    <w:p w14:paraId="3084FC34" w14:textId="77777777" w:rsidR="007916FF" w:rsidRPr="003B37F4" w:rsidRDefault="007916FF" w:rsidP="007916FF">
      <w:pPr>
        <w:tabs>
          <w:tab w:val="left" w:pos="547"/>
          <w:tab w:val="left" w:pos="907"/>
          <w:tab w:val="left" w:pos="1440"/>
          <w:tab w:val="left" w:pos="1987"/>
          <w:tab w:val="left" w:pos="2347"/>
        </w:tabs>
        <w:spacing w:line="216" w:lineRule="auto"/>
        <w:jc w:val="both"/>
        <w:rPr>
          <w:rFonts w:cs="Arial"/>
          <w:szCs w:val="20"/>
        </w:rPr>
      </w:pPr>
    </w:p>
    <w:p w14:paraId="78CC2CAE" w14:textId="77777777" w:rsidR="007916FF" w:rsidRPr="003B37F4" w:rsidRDefault="007916FF" w:rsidP="007916FF">
      <w:pPr>
        <w:tabs>
          <w:tab w:val="left" w:pos="547"/>
          <w:tab w:val="left" w:pos="907"/>
          <w:tab w:val="left" w:pos="1440"/>
          <w:tab w:val="left" w:pos="1987"/>
          <w:tab w:val="left" w:pos="2347"/>
        </w:tabs>
        <w:ind w:left="900"/>
        <w:jc w:val="both"/>
        <w:rPr>
          <w:rFonts w:cs="Arial"/>
          <w:szCs w:val="20"/>
        </w:rPr>
      </w:pPr>
      <w:r w:rsidRPr="003B37F4">
        <w:rPr>
          <w:rFonts w:cs="Arial"/>
          <w:szCs w:val="20"/>
        </w:rPr>
        <w:t xml:space="preserve">Exchange transactions between funds are reported as receipts in the seller funds and as disbursements in the purchaser funds.  Subsidies from one fund to another without a requirement for repayment are reported as interfund transfers.  Interfund transfers are reported as other financing sources/uses in governmental funds.  Repayments from funds responsible for </w:t>
      </w:r>
      <w:proofErr w:type="gramStart"/>
      <w:r w:rsidRPr="003B37F4">
        <w:rPr>
          <w:rFonts w:cs="Arial"/>
          <w:szCs w:val="20"/>
        </w:rPr>
        <w:t>particular cash</w:t>
      </w:r>
      <w:proofErr w:type="gramEnd"/>
      <w:r w:rsidRPr="003B37F4">
        <w:rPr>
          <w:rFonts w:cs="Arial"/>
          <w:szCs w:val="20"/>
        </w:rPr>
        <w:t xml:space="preserve"> disbursements to the funds that initially paid for them are not presented in the financial statements.</w:t>
      </w:r>
    </w:p>
    <w:p w14:paraId="4BDB0E97" w14:textId="77777777" w:rsidR="00C1650B" w:rsidRPr="003B37F4" w:rsidRDefault="00C1650B" w:rsidP="007916FF">
      <w:pPr>
        <w:tabs>
          <w:tab w:val="left" w:pos="547"/>
          <w:tab w:val="left" w:pos="907"/>
          <w:tab w:val="left" w:pos="1440"/>
          <w:tab w:val="left" w:pos="1987"/>
          <w:tab w:val="left" w:pos="2347"/>
        </w:tabs>
        <w:ind w:left="900"/>
        <w:jc w:val="both"/>
        <w:rPr>
          <w:rFonts w:cs="Arial"/>
          <w:szCs w:val="20"/>
        </w:rPr>
      </w:pPr>
    </w:p>
    <w:p w14:paraId="2DCB889B" w14:textId="77777777" w:rsidR="007916FF" w:rsidRPr="003B37F4" w:rsidRDefault="007916FF" w:rsidP="00B61AEF">
      <w:pPr>
        <w:pStyle w:val="Heading2"/>
      </w:pPr>
      <w:r w:rsidRPr="003B37F4">
        <w:t xml:space="preserve">  </w:t>
      </w:r>
      <w:bookmarkStart w:id="85" w:name="_Toc284945549"/>
      <w:bookmarkStart w:id="86" w:name="_Toc315938444"/>
      <w:r w:rsidRPr="003B37F4">
        <w:t>3.</w:t>
      </w:r>
      <w:r w:rsidRPr="003B37F4">
        <w:tab/>
      </w:r>
      <w:r w:rsidR="00242D18" w:rsidRPr="003B37F4">
        <w:rPr>
          <w:caps/>
        </w:rPr>
        <w:t>Budgetary Basis of Accounting</w:t>
      </w:r>
      <w:bookmarkEnd w:id="85"/>
      <w:bookmarkEnd w:id="86"/>
    </w:p>
    <w:p w14:paraId="74445C4D" w14:textId="77777777" w:rsidR="007916FF" w:rsidRPr="003B37F4" w:rsidRDefault="007916FF" w:rsidP="007916FF">
      <w:pPr>
        <w:tabs>
          <w:tab w:val="left" w:pos="547"/>
          <w:tab w:val="left" w:pos="907"/>
          <w:tab w:val="left" w:pos="1440"/>
          <w:tab w:val="left" w:pos="1987"/>
          <w:tab w:val="left" w:pos="2347"/>
        </w:tabs>
        <w:spacing w:line="216" w:lineRule="auto"/>
        <w:jc w:val="both"/>
        <w:rPr>
          <w:rFonts w:cs="Arial"/>
          <w:szCs w:val="20"/>
        </w:rPr>
      </w:pPr>
    </w:p>
    <w:p w14:paraId="7D95E670" w14:textId="77777777" w:rsidR="007916FF" w:rsidRPr="003B37F4" w:rsidRDefault="007916FF" w:rsidP="007916FF">
      <w:pPr>
        <w:tabs>
          <w:tab w:val="left" w:pos="547"/>
          <w:tab w:val="left" w:pos="907"/>
          <w:tab w:val="left" w:pos="1440"/>
          <w:tab w:val="left" w:pos="1987"/>
          <w:tab w:val="left" w:pos="2347"/>
        </w:tabs>
        <w:ind w:left="540"/>
        <w:jc w:val="both"/>
        <w:rPr>
          <w:rFonts w:cs="Arial"/>
          <w:szCs w:val="20"/>
        </w:rPr>
      </w:pPr>
      <w:r w:rsidRPr="003B37F4">
        <w:rPr>
          <w:rFonts w:cs="Arial"/>
          <w:szCs w:val="20"/>
        </w:rPr>
        <w:t xml:space="preserve">The budgetary basis as provided by law is based upon accounting for certain transactions </w:t>
      </w:r>
      <w:proofErr w:type="gramStart"/>
      <w:r w:rsidRPr="003B37F4">
        <w:rPr>
          <w:rFonts w:cs="Arial"/>
          <w:szCs w:val="20"/>
        </w:rPr>
        <w:t>on the basis of</w:t>
      </w:r>
      <w:proofErr w:type="gramEnd"/>
      <w:r w:rsidRPr="003B37F4">
        <w:rPr>
          <w:rFonts w:cs="Arial"/>
          <w:szCs w:val="20"/>
        </w:rPr>
        <w:t xml:space="preserve"> cash receipts, disbursements, and encumbrances.  The Statement of Receipts, Disbursements and Changes in Fund Balance – Budget and Actual – Budgetary Basis presented for </w:t>
      </w:r>
      <w:r w:rsidRPr="003B37F4">
        <w:rPr>
          <w:rFonts w:cs="Arial"/>
          <w:szCs w:val="20"/>
        </w:rPr>
        <w:lastRenderedPageBreak/>
        <w:t>the general fund and each major special revenue fund is prepared on the budgetary basis to provide a meaningful comparison of actual results with the budget.  The difference between the budgetary basis and the cash basis is outstanding year end encumbrances are treated as expenditures (budgetary basis) rather than as a reservation of fund balance (cash basis) and outstanding year end advances are treated as an other financing source or use (budgetary basis) rather than as an interfund receivable or payable (cash basis).  The encumbrances outstanding at year end (budgetary basis) amounted to:</w:t>
      </w:r>
    </w:p>
    <w:p w14:paraId="7AB64940" w14:textId="77777777" w:rsidR="007916FF" w:rsidRPr="003B37F4" w:rsidRDefault="007916FF" w:rsidP="007916FF">
      <w:pPr>
        <w:tabs>
          <w:tab w:val="left" w:pos="547"/>
          <w:tab w:val="left" w:pos="907"/>
          <w:tab w:val="left" w:pos="1440"/>
          <w:tab w:val="left" w:pos="1987"/>
          <w:tab w:val="left" w:pos="2347"/>
        </w:tabs>
        <w:jc w:val="both"/>
        <w:rPr>
          <w:rFonts w:cs="Arial"/>
          <w:b/>
          <w:szCs w:val="20"/>
        </w:rPr>
      </w:pPr>
      <w:r w:rsidRPr="003B37F4">
        <w:rPr>
          <w:rFonts w:cs="Arial"/>
          <w:b/>
          <w:szCs w:val="20"/>
        </w:rPr>
        <w:t xml:space="preserve">  </w:t>
      </w:r>
    </w:p>
    <w:p w14:paraId="3E25121D" w14:textId="77777777" w:rsidR="007916FF" w:rsidRPr="003B37F4" w:rsidRDefault="007916FF" w:rsidP="007916FF">
      <w:pPr>
        <w:tabs>
          <w:tab w:val="left" w:pos="547"/>
          <w:tab w:val="left" w:pos="907"/>
          <w:tab w:val="left" w:pos="1440"/>
          <w:tab w:val="left" w:pos="1987"/>
          <w:tab w:val="left" w:pos="2347"/>
        </w:tabs>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440"/>
      </w:tblGrid>
      <w:tr w:rsidR="007916FF" w:rsidRPr="003B37F4" w14:paraId="15E097C7" w14:textId="77777777" w:rsidTr="00215D7A">
        <w:trPr>
          <w:jc w:val="center"/>
        </w:trPr>
        <w:tc>
          <w:tcPr>
            <w:tcW w:w="5760" w:type="dxa"/>
          </w:tcPr>
          <w:p w14:paraId="2F34B1BC" w14:textId="77777777" w:rsidR="007916FF" w:rsidRPr="003B37F4" w:rsidRDefault="007916FF" w:rsidP="00184E6A">
            <w:pPr>
              <w:tabs>
                <w:tab w:val="left" w:pos="547"/>
                <w:tab w:val="left" w:pos="907"/>
                <w:tab w:val="left" w:pos="1440"/>
                <w:tab w:val="left" w:pos="1987"/>
                <w:tab w:val="left" w:pos="2347"/>
              </w:tabs>
              <w:jc w:val="both"/>
              <w:rPr>
                <w:rFonts w:cs="Arial"/>
                <w:szCs w:val="20"/>
              </w:rPr>
            </w:pPr>
            <w:r w:rsidRPr="003B37F4">
              <w:rPr>
                <w:rFonts w:cs="Arial"/>
                <w:szCs w:val="20"/>
              </w:rPr>
              <w:t>General Fund</w:t>
            </w:r>
          </w:p>
        </w:tc>
        <w:tc>
          <w:tcPr>
            <w:tcW w:w="1440" w:type="dxa"/>
          </w:tcPr>
          <w:p w14:paraId="139352EA" w14:textId="77777777" w:rsidR="007916FF" w:rsidRPr="003B37F4" w:rsidRDefault="00DC25F9" w:rsidP="00C1650B">
            <w:pPr>
              <w:tabs>
                <w:tab w:val="left" w:pos="547"/>
                <w:tab w:val="left" w:pos="907"/>
                <w:tab w:val="left" w:pos="1440"/>
                <w:tab w:val="left" w:pos="1987"/>
                <w:tab w:val="left" w:pos="2347"/>
              </w:tabs>
              <w:jc w:val="both"/>
              <w:rPr>
                <w:rFonts w:cs="Arial"/>
                <w:szCs w:val="20"/>
              </w:rPr>
            </w:pPr>
            <w:r w:rsidRPr="003B37F4">
              <w:rPr>
                <w:rFonts w:cs="Arial"/>
                <w:szCs w:val="20"/>
              </w:rPr>
              <w:t>$0</w:t>
            </w:r>
          </w:p>
        </w:tc>
      </w:tr>
      <w:tr w:rsidR="007916FF" w:rsidRPr="003B37F4" w14:paraId="0C0BBD2B" w14:textId="77777777" w:rsidTr="00215D7A">
        <w:trPr>
          <w:jc w:val="center"/>
        </w:trPr>
        <w:tc>
          <w:tcPr>
            <w:tcW w:w="5760" w:type="dxa"/>
          </w:tcPr>
          <w:p w14:paraId="642B6CAE" w14:textId="77777777" w:rsidR="007916FF" w:rsidRPr="003B37F4" w:rsidRDefault="007916FF" w:rsidP="00184E6A">
            <w:pPr>
              <w:tabs>
                <w:tab w:val="left" w:pos="547"/>
                <w:tab w:val="left" w:pos="907"/>
                <w:tab w:val="left" w:pos="1440"/>
                <w:tab w:val="left" w:pos="1987"/>
                <w:tab w:val="left" w:pos="2347"/>
              </w:tabs>
              <w:jc w:val="both"/>
              <w:rPr>
                <w:rFonts w:cs="Arial"/>
                <w:b/>
                <w:szCs w:val="20"/>
              </w:rPr>
            </w:pPr>
            <w:r w:rsidRPr="003B37F4">
              <w:rPr>
                <w:rFonts w:cs="Arial"/>
                <w:b/>
                <w:szCs w:val="20"/>
              </w:rPr>
              <w:t>Major Special Revenue Funds:</w:t>
            </w:r>
          </w:p>
        </w:tc>
        <w:tc>
          <w:tcPr>
            <w:tcW w:w="1440" w:type="dxa"/>
          </w:tcPr>
          <w:p w14:paraId="70F542AC" w14:textId="77777777" w:rsidR="007916FF" w:rsidRPr="003B37F4" w:rsidRDefault="007916FF" w:rsidP="00184E6A">
            <w:pPr>
              <w:tabs>
                <w:tab w:val="left" w:pos="547"/>
                <w:tab w:val="left" w:pos="907"/>
                <w:tab w:val="left" w:pos="1440"/>
                <w:tab w:val="left" w:pos="1987"/>
                <w:tab w:val="left" w:pos="2347"/>
              </w:tabs>
              <w:jc w:val="right"/>
              <w:rPr>
                <w:rFonts w:cs="Arial"/>
                <w:szCs w:val="20"/>
              </w:rPr>
            </w:pPr>
          </w:p>
        </w:tc>
      </w:tr>
      <w:tr w:rsidR="007916FF" w:rsidRPr="003B37F4" w14:paraId="36FEC582" w14:textId="77777777" w:rsidTr="00215D7A">
        <w:trPr>
          <w:jc w:val="center"/>
        </w:trPr>
        <w:tc>
          <w:tcPr>
            <w:tcW w:w="5760" w:type="dxa"/>
          </w:tcPr>
          <w:p w14:paraId="3964D7B0" w14:textId="77777777" w:rsidR="007916FF" w:rsidRPr="003B37F4" w:rsidRDefault="007916FF" w:rsidP="00184E6A">
            <w:pPr>
              <w:tabs>
                <w:tab w:val="left" w:pos="547"/>
                <w:tab w:val="left" w:pos="907"/>
                <w:tab w:val="left" w:pos="1440"/>
                <w:tab w:val="left" w:pos="1987"/>
                <w:tab w:val="left" w:pos="2347"/>
              </w:tabs>
              <w:jc w:val="both"/>
              <w:rPr>
                <w:rFonts w:cs="Arial"/>
                <w:szCs w:val="20"/>
              </w:rPr>
            </w:pPr>
            <w:r w:rsidRPr="003B37F4">
              <w:rPr>
                <w:rFonts w:cs="Arial"/>
                <w:szCs w:val="20"/>
              </w:rPr>
              <w:t xml:space="preserve"> WIC</w:t>
            </w:r>
          </w:p>
        </w:tc>
        <w:tc>
          <w:tcPr>
            <w:tcW w:w="1440" w:type="dxa"/>
          </w:tcPr>
          <w:p w14:paraId="6CB35633" w14:textId="77777777" w:rsidR="007916FF" w:rsidRPr="003B37F4" w:rsidRDefault="00DC25F9" w:rsidP="00394F08">
            <w:pPr>
              <w:tabs>
                <w:tab w:val="left" w:pos="547"/>
                <w:tab w:val="left" w:pos="907"/>
                <w:tab w:val="left" w:pos="1440"/>
                <w:tab w:val="left" w:pos="1987"/>
                <w:tab w:val="left" w:pos="2347"/>
              </w:tabs>
              <w:jc w:val="both"/>
              <w:rPr>
                <w:rFonts w:cs="Arial"/>
                <w:szCs w:val="20"/>
              </w:rPr>
            </w:pPr>
            <w:r w:rsidRPr="003B37F4">
              <w:rPr>
                <w:rFonts w:cs="Arial"/>
                <w:szCs w:val="20"/>
              </w:rPr>
              <w:t>$0</w:t>
            </w:r>
          </w:p>
        </w:tc>
      </w:tr>
      <w:tr w:rsidR="007916FF" w:rsidRPr="003B37F4" w14:paraId="166EFC11" w14:textId="77777777" w:rsidTr="00215D7A">
        <w:trPr>
          <w:jc w:val="center"/>
        </w:trPr>
        <w:tc>
          <w:tcPr>
            <w:tcW w:w="5760" w:type="dxa"/>
          </w:tcPr>
          <w:p w14:paraId="66EBE41E" w14:textId="77777777" w:rsidR="007916FF" w:rsidRPr="003B37F4" w:rsidRDefault="007916FF" w:rsidP="00184E6A">
            <w:pPr>
              <w:tabs>
                <w:tab w:val="left" w:pos="547"/>
                <w:tab w:val="left" w:pos="907"/>
                <w:tab w:val="left" w:pos="1440"/>
                <w:tab w:val="left" w:pos="1987"/>
                <w:tab w:val="left" w:pos="2347"/>
              </w:tabs>
              <w:jc w:val="both"/>
              <w:rPr>
                <w:rFonts w:cs="Arial"/>
                <w:b/>
                <w:szCs w:val="20"/>
              </w:rPr>
            </w:pPr>
            <w:r w:rsidRPr="003B37F4">
              <w:rPr>
                <w:rFonts w:cs="Arial"/>
                <w:szCs w:val="20"/>
              </w:rPr>
              <w:t xml:space="preserve"> </w:t>
            </w:r>
            <w:r w:rsidRPr="003B37F4">
              <w:rPr>
                <w:rFonts w:cs="Arial"/>
                <w:b/>
                <w:szCs w:val="20"/>
              </w:rPr>
              <w:t>Other Governmental Funds</w:t>
            </w:r>
          </w:p>
        </w:tc>
        <w:tc>
          <w:tcPr>
            <w:tcW w:w="1440" w:type="dxa"/>
          </w:tcPr>
          <w:p w14:paraId="029B2F37" w14:textId="77777777" w:rsidR="007916FF" w:rsidRPr="003B37F4" w:rsidRDefault="00DC25F9" w:rsidP="00C1650B">
            <w:pPr>
              <w:tabs>
                <w:tab w:val="left" w:pos="547"/>
                <w:tab w:val="left" w:pos="907"/>
                <w:tab w:val="left" w:pos="1440"/>
                <w:tab w:val="left" w:pos="1987"/>
                <w:tab w:val="left" w:pos="2347"/>
              </w:tabs>
              <w:jc w:val="both"/>
              <w:rPr>
                <w:rFonts w:cs="Arial"/>
                <w:szCs w:val="20"/>
              </w:rPr>
            </w:pPr>
            <w:r w:rsidRPr="003B37F4">
              <w:rPr>
                <w:rFonts w:cs="Arial"/>
                <w:szCs w:val="20"/>
              </w:rPr>
              <w:t>$0</w:t>
            </w:r>
          </w:p>
        </w:tc>
      </w:tr>
      <w:tr w:rsidR="007916FF" w:rsidRPr="003B37F4" w14:paraId="3C521B79" w14:textId="77777777" w:rsidTr="00215D7A">
        <w:trPr>
          <w:jc w:val="center"/>
        </w:trPr>
        <w:tc>
          <w:tcPr>
            <w:tcW w:w="5760" w:type="dxa"/>
          </w:tcPr>
          <w:p w14:paraId="3AC8DCAA" w14:textId="77777777" w:rsidR="007916FF" w:rsidRPr="003B37F4" w:rsidRDefault="00C1650B" w:rsidP="00C1650B">
            <w:pPr>
              <w:tabs>
                <w:tab w:val="left" w:pos="547"/>
                <w:tab w:val="left" w:pos="907"/>
                <w:tab w:val="left" w:pos="1440"/>
                <w:tab w:val="left" w:pos="1987"/>
                <w:tab w:val="left" w:pos="2347"/>
              </w:tabs>
              <w:jc w:val="both"/>
              <w:rPr>
                <w:rFonts w:cs="Arial"/>
                <w:szCs w:val="20"/>
              </w:rPr>
            </w:pPr>
            <w:r w:rsidRPr="003B37F4">
              <w:rPr>
                <w:rFonts w:cs="Arial"/>
                <w:szCs w:val="20"/>
              </w:rPr>
              <w:t xml:space="preserve">Child </w:t>
            </w:r>
            <w:r w:rsidR="007916FF" w:rsidRPr="003B37F4">
              <w:rPr>
                <w:rFonts w:cs="Arial"/>
                <w:szCs w:val="20"/>
              </w:rPr>
              <w:t xml:space="preserve">Abuse and Neglect, </w:t>
            </w:r>
            <w:r w:rsidRPr="003B37F4">
              <w:rPr>
                <w:rFonts w:cs="Arial"/>
                <w:szCs w:val="20"/>
              </w:rPr>
              <w:t>PHEP</w:t>
            </w:r>
            <w:r w:rsidR="007916FF" w:rsidRPr="003B37F4">
              <w:rPr>
                <w:rFonts w:cs="Arial"/>
                <w:szCs w:val="20"/>
              </w:rPr>
              <w:t>, Food, and Sewage</w:t>
            </w:r>
          </w:p>
        </w:tc>
        <w:tc>
          <w:tcPr>
            <w:tcW w:w="1440" w:type="dxa"/>
          </w:tcPr>
          <w:p w14:paraId="46C630FC" w14:textId="77777777" w:rsidR="007916FF" w:rsidRPr="003B37F4" w:rsidRDefault="007916FF" w:rsidP="00184E6A">
            <w:pPr>
              <w:tabs>
                <w:tab w:val="left" w:pos="547"/>
                <w:tab w:val="left" w:pos="907"/>
                <w:tab w:val="left" w:pos="1440"/>
                <w:tab w:val="left" w:pos="1987"/>
                <w:tab w:val="left" w:pos="2347"/>
              </w:tabs>
              <w:jc w:val="both"/>
              <w:rPr>
                <w:rFonts w:cs="Arial"/>
                <w:szCs w:val="20"/>
              </w:rPr>
            </w:pPr>
          </w:p>
        </w:tc>
      </w:tr>
      <w:tr w:rsidR="007916FF" w:rsidRPr="003B37F4" w14:paraId="36E0BCA8" w14:textId="77777777" w:rsidTr="00215D7A">
        <w:trPr>
          <w:jc w:val="center"/>
        </w:trPr>
        <w:tc>
          <w:tcPr>
            <w:tcW w:w="5760" w:type="dxa"/>
          </w:tcPr>
          <w:p w14:paraId="34F4C853" w14:textId="77777777" w:rsidR="007916FF" w:rsidRPr="003B37F4" w:rsidRDefault="007F6003" w:rsidP="00184E6A">
            <w:pPr>
              <w:tabs>
                <w:tab w:val="left" w:pos="547"/>
                <w:tab w:val="left" w:pos="907"/>
                <w:tab w:val="left" w:pos="1440"/>
                <w:tab w:val="left" w:pos="1987"/>
                <w:tab w:val="left" w:pos="2347"/>
              </w:tabs>
              <w:jc w:val="both"/>
              <w:rPr>
                <w:rFonts w:cs="Arial"/>
                <w:szCs w:val="20"/>
              </w:rPr>
            </w:pPr>
            <w:r w:rsidRPr="003B37F4">
              <w:rPr>
                <w:rFonts w:cs="Arial"/>
                <w:szCs w:val="20"/>
              </w:rPr>
              <w:t>Total</w:t>
            </w:r>
          </w:p>
        </w:tc>
        <w:tc>
          <w:tcPr>
            <w:tcW w:w="1440" w:type="dxa"/>
          </w:tcPr>
          <w:p w14:paraId="2DB5EA0D" w14:textId="77777777" w:rsidR="007916FF" w:rsidRPr="003B37F4" w:rsidRDefault="00DC25F9" w:rsidP="00C1650B">
            <w:pPr>
              <w:tabs>
                <w:tab w:val="left" w:pos="547"/>
                <w:tab w:val="left" w:pos="907"/>
                <w:tab w:val="left" w:pos="1440"/>
                <w:tab w:val="left" w:pos="1987"/>
                <w:tab w:val="left" w:pos="2347"/>
              </w:tabs>
              <w:jc w:val="both"/>
              <w:rPr>
                <w:rFonts w:cs="Arial"/>
                <w:szCs w:val="20"/>
              </w:rPr>
            </w:pPr>
            <w:r w:rsidRPr="003B37F4">
              <w:rPr>
                <w:rFonts w:cs="Arial"/>
                <w:szCs w:val="20"/>
              </w:rPr>
              <w:t>$0</w:t>
            </w:r>
          </w:p>
        </w:tc>
      </w:tr>
    </w:tbl>
    <w:p w14:paraId="66B23AE4" w14:textId="77777777" w:rsidR="007916FF" w:rsidRPr="003B37F4" w:rsidRDefault="007916FF" w:rsidP="00B61AEF">
      <w:pPr>
        <w:pStyle w:val="Heading2"/>
      </w:pPr>
      <w:r w:rsidRPr="003B37F4">
        <w:t xml:space="preserve">  </w:t>
      </w:r>
      <w:bookmarkStart w:id="87" w:name="_Toc284945550"/>
      <w:bookmarkStart w:id="88" w:name="_Toc315938445"/>
      <w:r w:rsidRPr="003B37F4">
        <w:t>4.</w:t>
      </w:r>
      <w:r w:rsidRPr="003B37F4">
        <w:tab/>
      </w:r>
      <w:r w:rsidR="00242D18" w:rsidRPr="003B37F4">
        <w:rPr>
          <w:caps/>
        </w:rPr>
        <w:t>Intergovernmental and Levy Funding</w:t>
      </w:r>
      <w:bookmarkEnd w:id="87"/>
      <w:bookmarkEnd w:id="88"/>
    </w:p>
    <w:p w14:paraId="5E8A3011" w14:textId="77777777" w:rsidR="007916FF" w:rsidRPr="003B37F4" w:rsidRDefault="007916FF" w:rsidP="007916FF">
      <w:pPr>
        <w:tabs>
          <w:tab w:val="left" w:pos="547"/>
          <w:tab w:val="left" w:pos="907"/>
          <w:tab w:val="left" w:pos="1440"/>
          <w:tab w:val="left" w:pos="1987"/>
          <w:tab w:val="left" w:pos="2347"/>
        </w:tabs>
        <w:jc w:val="both"/>
        <w:rPr>
          <w:rFonts w:cs="Arial"/>
          <w:b/>
          <w:szCs w:val="20"/>
        </w:rPr>
      </w:pPr>
    </w:p>
    <w:p w14:paraId="7662E3F3" w14:textId="77777777" w:rsidR="007916FF" w:rsidRPr="003B37F4" w:rsidRDefault="007916FF" w:rsidP="007916FF">
      <w:pPr>
        <w:tabs>
          <w:tab w:val="left" w:pos="547"/>
          <w:tab w:val="left" w:pos="907"/>
          <w:tab w:val="left" w:pos="1440"/>
          <w:tab w:val="left" w:pos="1987"/>
          <w:tab w:val="left" w:pos="2347"/>
        </w:tabs>
        <w:ind w:left="540"/>
        <w:jc w:val="both"/>
        <w:rPr>
          <w:rFonts w:cs="Arial"/>
          <w:szCs w:val="20"/>
        </w:rPr>
      </w:pPr>
      <w:r w:rsidRPr="003B37F4">
        <w:rPr>
          <w:rFonts w:cs="Arial"/>
          <w:szCs w:val="20"/>
        </w:rPr>
        <w:t>The County apportions the excess of the Health District’s appropriations over other estimated receipts among the Districts and municipalities composing the District, based on their taxable property valuations.  The County withholds the apportioned excess from property tax settlements and distributes it to the District.  The financial statements present these amounts as Subdivision revenue.</w:t>
      </w:r>
    </w:p>
    <w:p w14:paraId="4ACFD112" w14:textId="77777777" w:rsidR="007916FF" w:rsidRPr="003B37F4" w:rsidRDefault="007916FF" w:rsidP="00B61AEF">
      <w:pPr>
        <w:pStyle w:val="Heading2"/>
      </w:pPr>
      <w:r w:rsidRPr="003B37F4">
        <w:t xml:space="preserve">  </w:t>
      </w:r>
      <w:bookmarkStart w:id="89" w:name="_Toc284945551"/>
      <w:bookmarkStart w:id="90" w:name="_Toc315938446"/>
      <w:r w:rsidRPr="003B37F4">
        <w:t>5.</w:t>
      </w:r>
      <w:r w:rsidRPr="003B37F4">
        <w:tab/>
        <w:t>RISK MANAGEMENT</w:t>
      </w:r>
      <w:bookmarkEnd w:id="89"/>
      <w:bookmarkEnd w:id="90"/>
    </w:p>
    <w:p w14:paraId="219479AE" w14:textId="77777777" w:rsidR="007916FF" w:rsidRPr="003B37F4" w:rsidRDefault="007916FF" w:rsidP="00B61AEF">
      <w:pPr>
        <w:pStyle w:val="Heading3"/>
      </w:pPr>
      <w:r w:rsidRPr="003B37F4">
        <w:tab/>
      </w:r>
      <w:bookmarkStart w:id="91" w:name="_Toc284945552"/>
      <w:bookmarkStart w:id="92" w:name="_Toc315938447"/>
      <w:r w:rsidRPr="003B37F4">
        <w:t>A.</w:t>
      </w:r>
      <w:r w:rsidRPr="003B37F4">
        <w:tab/>
        <w:t>Commercial Insurance</w:t>
      </w:r>
      <w:bookmarkEnd w:id="91"/>
      <w:bookmarkEnd w:id="92"/>
    </w:p>
    <w:p w14:paraId="580CCF64" w14:textId="77777777" w:rsidR="007916FF" w:rsidRPr="003B37F4" w:rsidRDefault="007916FF" w:rsidP="007916FF">
      <w:pPr>
        <w:pStyle w:val="PlainText"/>
        <w:tabs>
          <w:tab w:val="left" w:pos="547"/>
          <w:tab w:val="left" w:pos="907"/>
          <w:tab w:val="left" w:pos="1440"/>
          <w:tab w:val="left" w:pos="1987"/>
          <w:tab w:val="left" w:pos="2347"/>
        </w:tabs>
        <w:jc w:val="both"/>
        <w:rPr>
          <w:rFonts w:ascii="Arial" w:hAnsi="Arial" w:cs="Arial"/>
          <w:b/>
        </w:rPr>
      </w:pPr>
    </w:p>
    <w:p w14:paraId="7E7D1E98" w14:textId="77777777" w:rsidR="007916FF" w:rsidRPr="003B37F4" w:rsidRDefault="007916FF" w:rsidP="007916FF">
      <w:pPr>
        <w:pStyle w:val="PlainText"/>
        <w:tabs>
          <w:tab w:val="left" w:pos="547"/>
          <w:tab w:val="left" w:pos="907"/>
          <w:tab w:val="left" w:pos="1440"/>
          <w:tab w:val="left" w:pos="1987"/>
          <w:tab w:val="left" w:pos="2347"/>
        </w:tabs>
        <w:jc w:val="both"/>
        <w:rPr>
          <w:rFonts w:ascii="Arial" w:hAnsi="Arial" w:cs="Arial"/>
        </w:rPr>
      </w:pPr>
      <w:r w:rsidRPr="003B37F4">
        <w:rPr>
          <w:rFonts w:ascii="Arial" w:hAnsi="Arial" w:cs="Arial"/>
        </w:rPr>
        <w:tab/>
      </w:r>
      <w:r w:rsidRPr="003B37F4">
        <w:rPr>
          <w:rFonts w:ascii="Arial" w:hAnsi="Arial" w:cs="Arial"/>
        </w:rPr>
        <w:tab/>
        <w:t>The Health District has obtained commercial insurance for the following risks:</w:t>
      </w:r>
    </w:p>
    <w:p w14:paraId="210BA34F" w14:textId="77777777" w:rsidR="007916FF" w:rsidRPr="003B37F4" w:rsidRDefault="007916FF" w:rsidP="007916FF">
      <w:pPr>
        <w:pStyle w:val="PlainText"/>
        <w:tabs>
          <w:tab w:val="left" w:pos="547"/>
          <w:tab w:val="left" w:pos="907"/>
          <w:tab w:val="left" w:pos="1440"/>
          <w:tab w:val="left" w:pos="1987"/>
          <w:tab w:val="left" w:pos="2347"/>
        </w:tabs>
        <w:jc w:val="both"/>
        <w:rPr>
          <w:rFonts w:ascii="Arial" w:hAnsi="Arial" w:cs="Arial"/>
        </w:rPr>
      </w:pPr>
    </w:p>
    <w:p w14:paraId="5684CB5D" w14:textId="77777777" w:rsidR="007916FF" w:rsidRPr="003B37F4" w:rsidRDefault="007916FF" w:rsidP="007916FF">
      <w:pPr>
        <w:pStyle w:val="PlainText"/>
        <w:numPr>
          <w:ilvl w:val="0"/>
          <w:numId w:val="5"/>
        </w:numPr>
        <w:tabs>
          <w:tab w:val="clear" w:pos="1620"/>
          <w:tab w:val="left" w:pos="547"/>
          <w:tab w:val="left" w:pos="907"/>
          <w:tab w:val="left" w:pos="1440"/>
          <w:tab w:val="left" w:pos="1987"/>
          <w:tab w:val="left" w:pos="2347"/>
        </w:tabs>
        <w:ind w:left="1440" w:hanging="540"/>
        <w:jc w:val="both"/>
        <w:rPr>
          <w:rFonts w:ascii="Arial" w:hAnsi="Arial" w:cs="Arial"/>
        </w:rPr>
      </w:pPr>
      <w:r w:rsidRPr="003B37F4">
        <w:rPr>
          <w:rFonts w:ascii="Arial" w:hAnsi="Arial" w:cs="Arial"/>
        </w:rPr>
        <w:t xml:space="preserve">Employee health insurance </w:t>
      </w:r>
    </w:p>
    <w:p w14:paraId="3F7A9B6E" w14:textId="77777777" w:rsidR="007916FF" w:rsidRPr="003B37F4" w:rsidRDefault="007916FF" w:rsidP="007916FF">
      <w:pPr>
        <w:pStyle w:val="PlainText"/>
        <w:numPr>
          <w:ilvl w:val="0"/>
          <w:numId w:val="5"/>
        </w:numPr>
        <w:tabs>
          <w:tab w:val="clear" w:pos="1620"/>
          <w:tab w:val="left" w:pos="547"/>
          <w:tab w:val="left" w:pos="907"/>
          <w:tab w:val="left" w:pos="1440"/>
          <w:tab w:val="left" w:pos="1987"/>
          <w:tab w:val="left" w:pos="2347"/>
        </w:tabs>
        <w:ind w:left="1440" w:hanging="540"/>
        <w:jc w:val="both"/>
        <w:rPr>
          <w:rFonts w:ascii="Arial" w:hAnsi="Arial" w:cs="Arial"/>
        </w:rPr>
      </w:pPr>
      <w:r w:rsidRPr="003B37F4">
        <w:rPr>
          <w:rFonts w:ascii="Arial" w:hAnsi="Arial" w:cs="Arial"/>
        </w:rPr>
        <w:t>Errors and omissions.</w:t>
      </w:r>
    </w:p>
    <w:p w14:paraId="5DA9B356" w14:textId="77777777" w:rsidR="007916FF" w:rsidRPr="003B37F4" w:rsidRDefault="007916FF" w:rsidP="00B61AEF">
      <w:pPr>
        <w:pStyle w:val="Heading3"/>
      </w:pPr>
      <w:r w:rsidRPr="003B37F4">
        <w:tab/>
      </w:r>
      <w:bookmarkStart w:id="93" w:name="_Toc284945553"/>
      <w:bookmarkStart w:id="94" w:name="_Toc315938448"/>
      <w:r w:rsidRPr="003B37F4">
        <w:t>B.</w:t>
      </w:r>
      <w:r w:rsidRPr="003B37F4">
        <w:tab/>
        <w:t>Risk Pool Membership</w:t>
      </w:r>
      <w:bookmarkEnd w:id="93"/>
      <w:bookmarkEnd w:id="94"/>
    </w:p>
    <w:p w14:paraId="5251C50E" w14:textId="77777777" w:rsidR="006D6100" w:rsidRPr="003B37F4" w:rsidRDefault="006D6100" w:rsidP="0087336E">
      <w:pPr>
        <w:pStyle w:val="Heading4"/>
        <w:rPr>
          <w:b w:val="0"/>
          <w:i w:val="0"/>
        </w:rPr>
      </w:pPr>
    </w:p>
    <w:p w14:paraId="2601899F" w14:textId="77777777" w:rsidR="006D6100" w:rsidRPr="003B37F4" w:rsidRDefault="00FA0A5B" w:rsidP="006D6100">
      <w:pPr>
        <w:suppressAutoHyphens/>
        <w:spacing w:line="240" w:lineRule="atLeast"/>
        <w:ind w:left="720"/>
        <w:rPr>
          <w:rFonts w:cs="Arial"/>
          <w:szCs w:val="20"/>
        </w:rPr>
      </w:pPr>
      <w:r w:rsidRPr="003B37F4">
        <w:rPr>
          <w:rFonts w:cs="Arial"/>
          <w:szCs w:val="20"/>
        </w:rPr>
        <w:t>The Champaign Health District</w:t>
      </w:r>
      <w:r w:rsidR="006D6100" w:rsidRPr="003B37F4">
        <w:rPr>
          <w:rFonts w:cs="Arial"/>
          <w:szCs w:val="20"/>
        </w:rPr>
        <w:t xml:space="preserve"> is exposed to various risks of property and casualty losses, and injuries to employees.</w:t>
      </w:r>
    </w:p>
    <w:p w14:paraId="240962F1" w14:textId="77777777" w:rsidR="006D6100" w:rsidRPr="003B37F4" w:rsidRDefault="006D6100" w:rsidP="006D6100">
      <w:pPr>
        <w:suppressAutoHyphens/>
        <w:spacing w:line="240" w:lineRule="atLeast"/>
        <w:ind w:left="720"/>
        <w:rPr>
          <w:rFonts w:cs="Arial"/>
          <w:szCs w:val="20"/>
        </w:rPr>
      </w:pPr>
    </w:p>
    <w:p w14:paraId="17258AA6" w14:textId="77777777" w:rsidR="006D6100" w:rsidRPr="003B37F4" w:rsidRDefault="00FA0A5B" w:rsidP="006D6100">
      <w:pPr>
        <w:suppressAutoHyphens/>
        <w:spacing w:line="240" w:lineRule="atLeast"/>
        <w:ind w:left="720"/>
        <w:rPr>
          <w:rFonts w:cs="Arial"/>
          <w:szCs w:val="20"/>
        </w:rPr>
      </w:pPr>
      <w:r w:rsidRPr="003B37F4">
        <w:rPr>
          <w:rFonts w:cs="Arial"/>
          <w:szCs w:val="20"/>
        </w:rPr>
        <w:t>The Champaign Health District</w:t>
      </w:r>
      <w:r w:rsidR="006D6100" w:rsidRPr="003B37F4">
        <w:rPr>
          <w:rFonts w:cs="Arial"/>
          <w:szCs w:val="20"/>
        </w:rPr>
        <w:t xml:space="preserve"> belongs to the Public Entities Pool of Ohio (PEP), a risk-sharing pool available to Ohio local governments.  PEP provides property and casualty coverage for its members. York Risk Pooling Services, Inc. (YORK), functions as the administrator of PEP and provides underwriting, claims loss control, risk management, and reinsurance services for PEP.  PEP is a member of American Public Entity Excess Pool (APEEP), which is also administered by YORK.  Member governments pay annual contributions to fund PEP. PEP pays judgments, settlements and other expenses resulting from covered claims that exceed the members’ deductibles.   </w:t>
      </w:r>
    </w:p>
    <w:p w14:paraId="1644C6A4" w14:textId="77777777" w:rsidR="0087336E" w:rsidRPr="003B37F4" w:rsidRDefault="0087336E" w:rsidP="006D6100">
      <w:pPr>
        <w:suppressAutoHyphens/>
        <w:spacing w:line="240" w:lineRule="atLeast"/>
        <w:ind w:left="720"/>
      </w:pPr>
    </w:p>
    <w:p w14:paraId="67854E3A" w14:textId="77777777" w:rsidR="0087336E" w:rsidRPr="003B37F4" w:rsidRDefault="0087336E" w:rsidP="006D6100">
      <w:pPr>
        <w:suppressAutoHyphens/>
        <w:spacing w:line="240" w:lineRule="atLeast"/>
        <w:ind w:left="720"/>
        <w:rPr>
          <w:rFonts w:eastAsiaTheme="minorEastAsia"/>
          <w:lang w:eastAsia="ja-JP"/>
        </w:rPr>
      </w:pPr>
    </w:p>
    <w:p w14:paraId="0017004F" w14:textId="77777777" w:rsidR="0087336E" w:rsidRPr="003B37F4" w:rsidRDefault="0087336E" w:rsidP="006D6100">
      <w:pPr>
        <w:suppressAutoHyphens/>
        <w:spacing w:line="240" w:lineRule="atLeast"/>
        <w:ind w:left="720"/>
      </w:pPr>
    </w:p>
    <w:p w14:paraId="0D738622" w14:textId="77777777" w:rsidR="00DD3EBC" w:rsidRPr="003B37F4" w:rsidRDefault="00DD3EBC" w:rsidP="006D6100">
      <w:pPr>
        <w:suppressAutoHyphens/>
        <w:spacing w:line="240" w:lineRule="atLeast"/>
        <w:ind w:left="720"/>
      </w:pPr>
    </w:p>
    <w:p w14:paraId="23ED7902" w14:textId="77777777" w:rsidR="00DD3EBC" w:rsidRPr="003B37F4" w:rsidRDefault="00DD3EBC" w:rsidP="006D6100">
      <w:pPr>
        <w:suppressAutoHyphens/>
        <w:spacing w:line="240" w:lineRule="atLeast"/>
        <w:ind w:left="720"/>
      </w:pPr>
    </w:p>
    <w:p w14:paraId="6847FAC3" w14:textId="77777777" w:rsidR="00DD3EBC" w:rsidRPr="003B37F4" w:rsidRDefault="00DD3EBC" w:rsidP="006D6100">
      <w:pPr>
        <w:suppressAutoHyphens/>
        <w:spacing w:line="240" w:lineRule="atLeast"/>
        <w:ind w:left="720"/>
      </w:pPr>
    </w:p>
    <w:p w14:paraId="2C6C0BF1" w14:textId="77777777" w:rsidR="006D6100" w:rsidRPr="003B37F4" w:rsidRDefault="0087336E" w:rsidP="0087336E">
      <w:pPr>
        <w:pStyle w:val="Heading3"/>
      </w:pPr>
      <w:r w:rsidRPr="003B37F4">
        <w:t xml:space="preserve">                 C.            Casualty and Property Coverage</w:t>
      </w:r>
    </w:p>
    <w:p w14:paraId="4812F51E" w14:textId="77777777" w:rsidR="0087336E" w:rsidRPr="003B37F4" w:rsidRDefault="0087336E" w:rsidP="006D6100">
      <w:pPr>
        <w:suppressAutoHyphens/>
        <w:spacing w:line="240" w:lineRule="atLeast"/>
        <w:ind w:left="720"/>
        <w:rPr>
          <w:rFonts w:cs="Arial"/>
          <w:szCs w:val="20"/>
          <w:u w:val="single"/>
        </w:rPr>
      </w:pPr>
    </w:p>
    <w:p w14:paraId="1A524E33" w14:textId="77777777" w:rsidR="006D6100" w:rsidRPr="003B37F4" w:rsidRDefault="006D6100" w:rsidP="006D6100">
      <w:pPr>
        <w:suppressAutoHyphens/>
        <w:spacing w:line="240" w:lineRule="atLeast"/>
        <w:ind w:left="720"/>
        <w:rPr>
          <w:rFonts w:cs="Arial"/>
          <w:szCs w:val="20"/>
          <w:u w:val="single"/>
        </w:rPr>
      </w:pPr>
      <w:r w:rsidRPr="003B37F4">
        <w:rPr>
          <w:rFonts w:cs="Arial"/>
          <w:szCs w:val="20"/>
          <w:u w:val="single"/>
        </w:rPr>
        <w:lastRenderedPageBreak/>
        <w:t>Casualty and Property Coverage</w:t>
      </w:r>
    </w:p>
    <w:p w14:paraId="628ECD3F" w14:textId="32E87707" w:rsidR="006D6100" w:rsidRPr="003B37F4" w:rsidRDefault="006D6100" w:rsidP="006D6100">
      <w:pPr>
        <w:suppressAutoHyphens/>
        <w:spacing w:line="240" w:lineRule="atLeast"/>
        <w:ind w:left="720"/>
        <w:rPr>
          <w:rFonts w:cs="Arial"/>
          <w:szCs w:val="20"/>
        </w:rPr>
      </w:pPr>
      <w:r w:rsidRPr="003B37F4">
        <w:rPr>
          <w:rFonts w:cs="Arial"/>
          <w:szCs w:val="20"/>
        </w:rPr>
        <w:t>APEEP provides PEP with an excess risk-sharing program.  Under this arrangement, PEP retains insured risks up to an amount specified in the</w:t>
      </w:r>
      <w:r w:rsidR="000A432C" w:rsidRPr="003B37F4">
        <w:rPr>
          <w:rFonts w:cs="Arial"/>
          <w:szCs w:val="20"/>
        </w:rPr>
        <w:t xml:space="preserve"> contracts.  </w:t>
      </w:r>
      <w:proofErr w:type="gramStart"/>
      <w:r w:rsidR="000A432C" w:rsidRPr="003B37F4">
        <w:rPr>
          <w:rFonts w:cs="Arial"/>
          <w:szCs w:val="20"/>
        </w:rPr>
        <w:t>A</w:t>
      </w:r>
      <w:r w:rsidR="001C00B1" w:rsidRPr="003B37F4">
        <w:rPr>
          <w:rFonts w:cs="Arial"/>
          <w:szCs w:val="20"/>
        </w:rPr>
        <w:t>t</w:t>
      </w:r>
      <w:proofErr w:type="gramEnd"/>
      <w:r w:rsidR="000A432C" w:rsidRPr="003B37F4">
        <w:rPr>
          <w:rFonts w:cs="Arial"/>
          <w:szCs w:val="20"/>
        </w:rPr>
        <w:t xml:space="preserve"> December 31, 2017</w:t>
      </w:r>
      <w:r w:rsidRPr="003B37F4">
        <w:rPr>
          <w:rFonts w:cs="Arial"/>
          <w:szCs w:val="20"/>
        </w:rPr>
        <w:t>, PEP retained $350,000 casualty claims and $100,000 for property claims.</w:t>
      </w:r>
    </w:p>
    <w:p w14:paraId="1B64D81C" w14:textId="77777777" w:rsidR="006D6100" w:rsidRPr="003B37F4" w:rsidRDefault="006D6100" w:rsidP="006D6100">
      <w:pPr>
        <w:suppressAutoHyphens/>
        <w:spacing w:line="240" w:lineRule="atLeast"/>
        <w:ind w:left="720"/>
        <w:rPr>
          <w:rFonts w:cs="Arial"/>
          <w:szCs w:val="20"/>
          <w:u w:val="single"/>
        </w:rPr>
      </w:pPr>
    </w:p>
    <w:p w14:paraId="06C36512" w14:textId="77777777" w:rsidR="006D6100" w:rsidRPr="003B37F4" w:rsidRDefault="006D6100" w:rsidP="006D6100">
      <w:pPr>
        <w:suppressAutoHyphens/>
        <w:spacing w:line="240" w:lineRule="atLeast"/>
        <w:ind w:left="720"/>
        <w:rPr>
          <w:rFonts w:cs="Arial"/>
          <w:szCs w:val="20"/>
        </w:rPr>
      </w:pPr>
      <w:r w:rsidRPr="003B37F4">
        <w:rPr>
          <w:rFonts w:cs="Arial"/>
          <w:szCs w:val="20"/>
        </w:rPr>
        <w:t xml:space="preserve">The </w:t>
      </w:r>
      <w:proofErr w:type="gramStart"/>
      <w:r w:rsidRPr="003B37F4">
        <w:rPr>
          <w:rFonts w:cs="Arial"/>
          <w:szCs w:val="20"/>
        </w:rPr>
        <w:t>aforementioned casualty</w:t>
      </w:r>
      <w:proofErr w:type="gramEnd"/>
      <w:r w:rsidRPr="003B37F4">
        <w:rPr>
          <w:rFonts w:cs="Arial"/>
          <w:szCs w:val="20"/>
        </w:rPr>
        <w:t xml:space="preserve"> and property reinsurance agreements do not discharge PEP’s primary liability for claims payments on covered losses.  Claims exceeding coverage limits are the obligation of the respective PEP member.</w:t>
      </w:r>
    </w:p>
    <w:p w14:paraId="11090E2D" w14:textId="77777777" w:rsidR="006D6100" w:rsidRPr="003B37F4" w:rsidRDefault="006D6100" w:rsidP="006D6100">
      <w:pPr>
        <w:suppressAutoHyphens/>
        <w:spacing w:line="240" w:lineRule="atLeast"/>
        <w:ind w:left="720"/>
        <w:rPr>
          <w:rFonts w:cs="Arial"/>
          <w:szCs w:val="20"/>
        </w:rPr>
      </w:pPr>
    </w:p>
    <w:p w14:paraId="23719563" w14:textId="77777777" w:rsidR="006D6100" w:rsidRPr="003B37F4" w:rsidRDefault="006D6100" w:rsidP="006D6100">
      <w:pPr>
        <w:suppressAutoHyphens/>
        <w:spacing w:line="240" w:lineRule="atLeast"/>
        <w:ind w:left="720"/>
        <w:rPr>
          <w:rFonts w:cs="Arial"/>
          <w:szCs w:val="20"/>
          <w:u w:val="single"/>
        </w:rPr>
      </w:pPr>
      <w:r w:rsidRPr="003B37F4">
        <w:rPr>
          <w:rFonts w:cs="Arial"/>
          <w:szCs w:val="20"/>
          <w:u w:val="single"/>
        </w:rPr>
        <w:t>Financial Position</w:t>
      </w:r>
    </w:p>
    <w:p w14:paraId="577CC3EA" w14:textId="4011645E" w:rsidR="006D6100" w:rsidRPr="003B37F4" w:rsidRDefault="006D6100" w:rsidP="006D6100">
      <w:pPr>
        <w:suppressAutoHyphens/>
        <w:spacing w:line="240" w:lineRule="atLeast"/>
        <w:ind w:left="720"/>
        <w:rPr>
          <w:rFonts w:cs="Arial"/>
          <w:szCs w:val="20"/>
        </w:rPr>
      </w:pPr>
      <w:r w:rsidRPr="003B37F4">
        <w:rPr>
          <w:rFonts w:cs="Arial"/>
          <w:szCs w:val="20"/>
        </w:rPr>
        <w:t>PEP’s financial statements (audited by other accountants) conform with generally accepted accounting principles, and reported the following assets, liabilities and retain</w:t>
      </w:r>
      <w:r w:rsidR="0021740F" w:rsidRPr="003B37F4">
        <w:rPr>
          <w:rFonts w:cs="Arial"/>
          <w:szCs w:val="20"/>
        </w:rPr>
        <w:t>ed earnings at December 31, 20</w:t>
      </w:r>
      <w:r w:rsidR="00DF63C9" w:rsidRPr="003B37F4">
        <w:rPr>
          <w:rFonts w:cs="Arial"/>
          <w:szCs w:val="20"/>
        </w:rPr>
        <w:t>2</w:t>
      </w:r>
      <w:r w:rsidR="001C00B1" w:rsidRPr="003B37F4">
        <w:rPr>
          <w:rFonts w:cs="Arial"/>
          <w:szCs w:val="20"/>
        </w:rPr>
        <w:t>1</w:t>
      </w:r>
      <w:r w:rsidRPr="003B37F4">
        <w:rPr>
          <w:rFonts w:cs="Arial"/>
          <w:szCs w:val="20"/>
        </w:rPr>
        <w:t xml:space="preserve"> an</w:t>
      </w:r>
      <w:r w:rsidR="0021740F" w:rsidRPr="003B37F4">
        <w:rPr>
          <w:rFonts w:cs="Arial"/>
          <w:szCs w:val="20"/>
        </w:rPr>
        <w:t>d 20</w:t>
      </w:r>
      <w:r w:rsidR="001C00B1" w:rsidRPr="003B37F4">
        <w:rPr>
          <w:rFonts w:cs="Arial"/>
          <w:szCs w:val="20"/>
        </w:rPr>
        <w:t>20</w:t>
      </w:r>
      <w:r w:rsidRPr="003B37F4">
        <w:rPr>
          <w:rFonts w:cs="Arial"/>
          <w:szCs w:val="20"/>
        </w:rPr>
        <w:t xml:space="preserve"> (the latest information available):</w:t>
      </w:r>
    </w:p>
    <w:p w14:paraId="6874D6C0" w14:textId="77777777" w:rsidR="00FA0A5B" w:rsidRPr="003B37F4" w:rsidRDefault="00FA0A5B" w:rsidP="006D6100">
      <w:pPr>
        <w:suppressAutoHyphens/>
        <w:spacing w:line="240" w:lineRule="atLeast"/>
        <w:ind w:left="720"/>
        <w:rPr>
          <w:rFonts w:cs="Arial"/>
          <w:szCs w:val="20"/>
        </w:rPr>
      </w:pPr>
    </w:p>
    <w:p w14:paraId="655F6F6C" w14:textId="77777777" w:rsidR="006D6100" w:rsidRPr="003B37F4" w:rsidRDefault="006D6100" w:rsidP="00F55F68">
      <w:pPr>
        <w:suppressAutoHyphens/>
        <w:spacing w:line="240" w:lineRule="atLeast"/>
        <w:rPr>
          <w:rFonts w:cs="Arial"/>
          <w:szCs w:val="20"/>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2252"/>
        <w:gridCol w:w="2250"/>
      </w:tblGrid>
      <w:tr w:rsidR="0021740F" w:rsidRPr="003B37F4" w14:paraId="11BFB1CD" w14:textId="77777777" w:rsidTr="00582D34">
        <w:trPr>
          <w:trHeight w:val="554"/>
        </w:trPr>
        <w:tc>
          <w:tcPr>
            <w:tcW w:w="3263" w:type="dxa"/>
            <w:tcBorders>
              <w:top w:val="single" w:sz="4" w:space="0" w:color="auto"/>
              <w:left w:val="single" w:sz="4" w:space="0" w:color="auto"/>
              <w:bottom w:val="single" w:sz="4" w:space="0" w:color="auto"/>
              <w:right w:val="single" w:sz="4" w:space="0" w:color="auto"/>
            </w:tcBorders>
            <w:noWrap/>
            <w:hideMark/>
          </w:tcPr>
          <w:p w14:paraId="19425CC0" w14:textId="77777777" w:rsidR="0021740F" w:rsidRPr="003B37F4" w:rsidRDefault="0021740F" w:rsidP="0021740F">
            <w:pPr>
              <w:suppressAutoHyphens/>
              <w:spacing w:line="240" w:lineRule="atLeast"/>
              <w:ind w:left="720"/>
              <w:rPr>
                <w:rFonts w:cs="Arial"/>
                <w:szCs w:val="20"/>
              </w:rPr>
            </w:pPr>
            <w:r w:rsidRPr="003B37F4">
              <w:rPr>
                <w:rFonts w:cs="Arial"/>
                <w:szCs w:val="20"/>
              </w:rPr>
              <w:t> </w:t>
            </w:r>
          </w:p>
        </w:tc>
        <w:tc>
          <w:tcPr>
            <w:tcW w:w="2252" w:type="dxa"/>
            <w:tcBorders>
              <w:top w:val="single" w:sz="4" w:space="0" w:color="auto"/>
              <w:left w:val="single" w:sz="4" w:space="0" w:color="auto"/>
              <w:bottom w:val="single" w:sz="4" w:space="0" w:color="auto"/>
              <w:right w:val="single" w:sz="4" w:space="0" w:color="auto"/>
            </w:tcBorders>
            <w:noWrap/>
            <w:hideMark/>
          </w:tcPr>
          <w:p w14:paraId="21ECF56A" w14:textId="41E85F51" w:rsidR="0021740F" w:rsidRPr="003B37F4" w:rsidRDefault="0021740F" w:rsidP="0021740F">
            <w:pPr>
              <w:suppressAutoHyphens/>
              <w:spacing w:line="240" w:lineRule="atLeast"/>
              <w:ind w:left="720"/>
              <w:rPr>
                <w:rFonts w:cs="Arial"/>
                <w:b/>
                <w:bCs/>
                <w:szCs w:val="20"/>
                <w:u w:val="single"/>
              </w:rPr>
            </w:pPr>
            <w:r w:rsidRPr="003B37F4">
              <w:rPr>
                <w:rFonts w:cs="Arial"/>
                <w:b/>
                <w:bCs/>
                <w:szCs w:val="20"/>
                <w:u w:val="single"/>
              </w:rPr>
              <w:t>2</w:t>
            </w:r>
            <w:r w:rsidR="00DF63C9" w:rsidRPr="003B37F4">
              <w:rPr>
                <w:rFonts w:cs="Arial"/>
                <w:b/>
                <w:bCs/>
                <w:szCs w:val="20"/>
                <w:u w:val="single"/>
              </w:rPr>
              <w:t>02</w:t>
            </w:r>
            <w:r w:rsidR="001C00B1" w:rsidRPr="003B37F4">
              <w:rPr>
                <w:rFonts w:cs="Arial"/>
                <w:b/>
                <w:bCs/>
                <w:szCs w:val="20"/>
                <w:u w:val="single"/>
              </w:rPr>
              <w:t>1</w:t>
            </w:r>
          </w:p>
        </w:tc>
        <w:tc>
          <w:tcPr>
            <w:tcW w:w="2250" w:type="dxa"/>
            <w:tcBorders>
              <w:top w:val="single" w:sz="4" w:space="0" w:color="auto"/>
              <w:left w:val="single" w:sz="4" w:space="0" w:color="auto"/>
              <w:bottom w:val="single" w:sz="4" w:space="0" w:color="auto"/>
              <w:right w:val="single" w:sz="4" w:space="0" w:color="auto"/>
            </w:tcBorders>
            <w:noWrap/>
            <w:hideMark/>
          </w:tcPr>
          <w:p w14:paraId="1A8F97CF" w14:textId="2C763C1D" w:rsidR="0021740F" w:rsidRPr="003B37F4" w:rsidRDefault="001C00B1" w:rsidP="0021740F">
            <w:r w:rsidRPr="003B37F4">
              <w:t>2020</w:t>
            </w:r>
          </w:p>
        </w:tc>
      </w:tr>
      <w:tr w:rsidR="0021740F" w:rsidRPr="003B37F4" w14:paraId="1ED8C35A" w14:textId="77777777" w:rsidTr="00582D34">
        <w:trPr>
          <w:trHeight w:val="423"/>
        </w:trPr>
        <w:tc>
          <w:tcPr>
            <w:tcW w:w="3263" w:type="dxa"/>
            <w:tcBorders>
              <w:top w:val="single" w:sz="4" w:space="0" w:color="auto"/>
              <w:left w:val="single" w:sz="4" w:space="0" w:color="auto"/>
              <w:bottom w:val="single" w:sz="4" w:space="0" w:color="auto"/>
              <w:right w:val="single" w:sz="4" w:space="0" w:color="auto"/>
            </w:tcBorders>
            <w:noWrap/>
            <w:hideMark/>
          </w:tcPr>
          <w:p w14:paraId="0214B189" w14:textId="77777777" w:rsidR="0021740F" w:rsidRPr="003B37F4" w:rsidRDefault="0021740F" w:rsidP="0021740F">
            <w:pPr>
              <w:suppressAutoHyphens/>
              <w:spacing w:line="240" w:lineRule="atLeast"/>
              <w:ind w:left="720"/>
              <w:rPr>
                <w:rFonts w:cs="Arial"/>
                <w:szCs w:val="20"/>
              </w:rPr>
            </w:pPr>
            <w:r w:rsidRPr="003B37F4">
              <w:rPr>
                <w:rFonts w:cs="Arial"/>
                <w:szCs w:val="20"/>
              </w:rPr>
              <w:t>Assets</w:t>
            </w:r>
          </w:p>
        </w:tc>
        <w:tc>
          <w:tcPr>
            <w:tcW w:w="2252" w:type="dxa"/>
            <w:tcBorders>
              <w:top w:val="single" w:sz="4" w:space="0" w:color="auto"/>
              <w:left w:val="single" w:sz="4" w:space="0" w:color="auto"/>
              <w:bottom w:val="single" w:sz="4" w:space="0" w:color="auto"/>
              <w:right w:val="single" w:sz="4" w:space="0" w:color="auto"/>
            </w:tcBorders>
            <w:noWrap/>
            <w:hideMark/>
          </w:tcPr>
          <w:p w14:paraId="6EEB80C0" w14:textId="769417C0" w:rsidR="0021740F" w:rsidRPr="003B37F4" w:rsidRDefault="001C00B1" w:rsidP="0021740F">
            <w:pPr>
              <w:suppressAutoHyphens/>
              <w:spacing w:line="240" w:lineRule="atLeast"/>
              <w:ind w:left="720"/>
              <w:rPr>
                <w:rFonts w:cs="Arial"/>
                <w:szCs w:val="20"/>
              </w:rPr>
            </w:pPr>
            <w:r w:rsidRPr="003B37F4">
              <w:rPr>
                <w:rFonts w:cs="Arial"/>
                <w:szCs w:val="20"/>
              </w:rPr>
              <w:t>$41,996,850</w:t>
            </w:r>
          </w:p>
        </w:tc>
        <w:tc>
          <w:tcPr>
            <w:tcW w:w="2250" w:type="dxa"/>
            <w:tcBorders>
              <w:top w:val="single" w:sz="4" w:space="0" w:color="auto"/>
              <w:left w:val="single" w:sz="4" w:space="0" w:color="auto"/>
              <w:bottom w:val="single" w:sz="4" w:space="0" w:color="auto"/>
              <w:right w:val="single" w:sz="4" w:space="0" w:color="auto"/>
            </w:tcBorders>
            <w:noWrap/>
            <w:hideMark/>
          </w:tcPr>
          <w:p w14:paraId="5BB7377E" w14:textId="35A5875A" w:rsidR="0021740F" w:rsidRPr="003B37F4" w:rsidRDefault="0021740F" w:rsidP="0021740F">
            <w:r w:rsidRPr="003B37F4">
              <w:t xml:space="preserve"> $</w:t>
            </w:r>
            <w:r w:rsidR="001C00B1" w:rsidRPr="003B37F4">
              <w:t>40,318,971</w:t>
            </w:r>
          </w:p>
        </w:tc>
      </w:tr>
      <w:tr w:rsidR="0021740F" w:rsidRPr="003B37F4" w14:paraId="41AC7479" w14:textId="77777777" w:rsidTr="00582D34">
        <w:trPr>
          <w:trHeight w:val="456"/>
        </w:trPr>
        <w:tc>
          <w:tcPr>
            <w:tcW w:w="3263" w:type="dxa"/>
            <w:tcBorders>
              <w:top w:val="single" w:sz="4" w:space="0" w:color="auto"/>
              <w:left w:val="single" w:sz="4" w:space="0" w:color="auto"/>
              <w:bottom w:val="single" w:sz="4" w:space="0" w:color="auto"/>
              <w:right w:val="single" w:sz="4" w:space="0" w:color="auto"/>
            </w:tcBorders>
            <w:noWrap/>
            <w:hideMark/>
          </w:tcPr>
          <w:p w14:paraId="7CCB20B8" w14:textId="77777777" w:rsidR="0021740F" w:rsidRPr="003B37F4" w:rsidRDefault="0021740F" w:rsidP="0021740F">
            <w:pPr>
              <w:suppressAutoHyphens/>
              <w:spacing w:line="240" w:lineRule="atLeast"/>
              <w:ind w:left="720"/>
              <w:rPr>
                <w:rFonts w:cs="Arial"/>
                <w:szCs w:val="20"/>
              </w:rPr>
            </w:pPr>
            <w:r w:rsidRPr="003B37F4">
              <w:rPr>
                <w:rFonts w:cs="Arial"/>
                <w:szCs w:val="20"/>
              </w:rPr>
              <w:t>Liabilities</w:t>
            </w:r>
          </w:p>
        </w:tc>
        <w:tc>
          <w:tcPr>
            <w:tcW w:w="2252" w:type="dxa"/>
            <w:tcBorders>
              <w:top w:val="single" w:sz="4" w:space="0" w:color="auto"/>
              <w:left w:val="single" w:sz="4" w:space="0" w:color="auto"/>
              <w:bottom w:val="single" w:sz="4" w:space="0" w:color="auto"/>
              <w:right w:val="single" w:sz="4" w:space="0" w:color="auto"/>
            </w:tcBorders>
            <w:noWrap/>
            <w:hideMark/>
          </w:tcPr>
          <w:p w14:paraId="17B3288F" w14:textId="33548124" w:rsidR="0021740F" w:rsidRPr="003B37F4" w:rsidRDefault="0021740F" w:rsidP="0021740F">
            <w:pPr>
              <w:suppressAutoHyphens/>
              <w:spacing w:line="240" w:lineRule="atLeast"/>
              <w:ind w:left="720"/>
              <w:rPr>
                <w:rFonts w:cs="Arial"/>
                <w:szCs w:val="20"/>
                <w:u w:val="single"/>
              </w:rPr>
            </w:pPr>
            <w:r w:rsidRPr="003B37F4">
              <w:rPr>
                <w:rFonts w:cs="Arial"/>
                <w:szCs w:val="20"/>
              </w:rPr>
              <w:t xml:space="preserve">    </w:t>
            </w:r>
            <w:r w:rsidRPr="003B37F4">
              <w:rPr>
                <w:rFonts w:cs="Arial"/>
                <w:szCs w:val="20"/>
                <w:u w:val="single"/>
              </w:rPr>
              <w:t>(14,</w:t>
            </w:r>
            <w:r w:rsidR="001C00B1" w:rsidRPr="003B37F4">
              <w:rPr>
                <w:rFonts w:cs="Arial"/>
                <w:szCs w:val="20"/>
                <w:u w:val="single"/>
              </w:rPr>
              <w:t>974,099</w:t>
            </w:r>
            <w:r w:rsidRPr="003B37F4">
              <w:rPr>
                <w:rFonts w:cs="Arial"/>
                <w:szCs w:val="20"/>
                <w:u w:val="single"/>
              </w:rPr>
              <w:t>)</w:t>
            </w:r>
          </w:p>
        </w:tc>
        <w:tc>
          <w:tcPr>
            <w:tcW w:w="2250" w:type="dxa"/>
            <w:tcBorders>
              <w:top w:val="single" w:sz="4" w:space="0" w:color="auto"/>
              <w:left w:val="single" w:sz="4" w:space="0" w:color="auto"/>
              <w:bottom w:val="single" w:sz="4" w:space="0" w:color="auto"/>
              <w:right w:val="single" w:sz="4" w:space="0" w:color="auto"/>
            </w:tcBorders>
            <w:noWrap/>
            <w:hideMark/>
          </w:tcPr>
          <w:p w14:paraId="4F27B736" w14:textId="35EBD0F3" w:rsidR="0021740F" w:rsidRPr="003B37F4" w:rsidRDefault="0021740F" w:rsidP="0021740F">
            <w:r w:rsidRPr="003B37F4">
              <w:t xml:space="preserve">    (</w:t>
            </w:r>
            <w:r w:rsidR="00DF63C9" w:rsidRPr="003B37F4">
              <w:t>14,</w:t>
            </w:r>
            <w:r w:rsidR="001C00B1" w:rsidRPr="003B37F4">
              <w:t>111,510</w:t>
            </w:r>
            <w:r w:rsidRPr="003B37F4">
              <w:t>)</w:t>
            </w:r>
          </w:p>
        </w:tc>
      </w:tr>
      <w:tr w:rsidR="0021740F" w:rsidRPr="003B37F4" w14:paraId="2415F1C7" w14:textId="77777777" w:rsidTr="00582D34">
        <w:trPr>
          <w:trHeight w:val="342"/>
        </w:trPr>
        <w:tc>
          <w:tcPr>
            <w:tcW w:w="3263" w:type="dxa"/>
            <w:tcBorders>
              <w:top w:val="single" w:sz="4" w:space="0" w:color="auto"/>
              <w:left w:val="single" w:sz="4" w:space="0" w:color="auto"/>
              <w:bottom w:val="single" w:sz="4" w:space="0" w:color="auto"/>
              <w:right w:val="single" w:sz="4" w:space="0" w:color="auto"/>
            </w:tcBorders>
            <w:noWrap/>
            <w:hideMark/>
          </w:tcPr>
          <w:p w14:paraId="0FFD2857" w14:textId="77777777" w:rsidR="0021740F" w:rsidRPr="003B37F4" w:rsidRDefault="0021740F" w:rsidP="0021740F">
            <w:pPr>
              <w:suppressAutoHyphens/>
              <w:spacing w:line="240" w:lineRule="atLeast"/>
              <w:ind w:left="720"/>
              <w:rPr>
                <w:rFonts w:cs="Arial"/>
                <w:szCs w:val="20"/>
              </w:rPr>
            </w:pPr>
            <w:r w:rsidRPr="003B37F4">
              <w:rPr>
                <w:rFonts w:cs="Arial"/>
                <w:szCs w:val="20"/>
              </w:rPr>
              <w:t>Net Assets – Unrestricted</w:t>
            </w:r>
          </w:p>
        </w:tc>
        <w:tc>
          <w:tcPr>
            <w:tcW w:w="2252" w:type="dxa"/>
            <w:tcBorders>
              <w:top w:val="single" w:sz="4" w:space="0" w:color="auto"/>
              <w:left w:val="single" w:sz="4" w:space="0" w:color="auto"/>
              <w:bottom w:val="single" w:sz="4" w:space="0" w:color="auto"/>
              <w:right w:val="single" w:sz="4" w:space="0" w:color="auto"/>
            </w:tcBorders>
            <w:noWrap/>
            <w:hideMark/>
          </w:tcPr>
          <w:p w14:paraId="7E015809" w14:textId="4C6F9DC4" w:rsidR="0021740F" w:rsidRPr="003B37F4" w:rsidRDefault="0021740F" w:rsidP="0021740F">
            <w:pPr>
              <w:suppressAutoHyphens/>
              <w:spacing w:line="240" w:lineRule="atLeast"/>
              <w:ind w:left="720"/>
              <w:rPr>
                <w:rFonts w:cs="Arial"/>
                <w:szCs w:val="20"/>
              </w:rPr>
            </w:pPr>
            <w:r w:rsidRPr="003B37F4">
              <w:rPr>
                <w:rFonts w:cs="Arial"/>
                <w:szCs w:val="20"/>
              </w:rPr>
              <w:t xml:space="preserve"> </w:t>
            </w:r>
            <w:r w:rsidR="001C00B1" w:rsidRPr="003B37F4">
              <w:rPr>
                <w:rFonts w:cs="Arial"/>
                <w:szCs w:val="20"/>
              </w:rPr>
              <w:t>$27,022,751</w:t>
            </w:r>
            <w:r w:rsidRPr="003B37F4">
              <w:rPr>
                <w:rFonts w:cs="Arial"/>
                <w:szCs w:val="20"/>
              </w:rPr>
              <w:t xml:space="preserve"> </w:t>
            </w:r>
          </w:p>
        </w:tc>
        <w:tc>
          <w:tcPr>
            <w:tcW w:w="2250" w:type="dxa"/>
            <w:tcBorders>
              <w:top w:val="single" w:sz="4" w:space="0" w:color="auto"/>
              <w:left w:val="single" w:sz="4" w:space="0" w:color="auto"/>
              <w:bottom w:val="single" w:sz="4" w:space="0" w:color="auto"/>
              <w:right w:val="single" w:sz="4" w:space="0" w:color="auto"/>
            </w:tcBorders>
            <w:noWrap/>
            <w:hideMark/>
          </w:tcPr>
          <w:p w14:paraId="149B4796" w14:textId="2A3C30DF" w:rsidR="0021740F" w:rsidRPr="003B37F4" w:rsidRDefault="0021740F" w:rsidP="0021740F">
            <w:r w:rsidRPr="003B37F4">
              <w:t xml:space="preserve"> $</w:t>
            </w:r>
            <w:r w:rsidR="001C00B1" w:rsidRPr="003B37F4">
              <w:t>26,207,461</w:t>
            </w:r>
          </w:p>
        </w:tc>
      </w:tr>
    </w:tbl>
    <w:p w14:paraId="78E9202D" w14:textId="77777777" w:rsidR="00FA0A5B" w:rsidRPr="003B37F4" w:rsidRDefault="00FA0A5B" w:rsidP="00F55F68">
      <w:pPr>
        <w:suppressAutoHyphens/>
        <w:spacing w:line="240" w:lineRule="atLeast"/>
        <w:rPr>
          <w:rFonts w:cs="Arial"/>
          <w:szCs w:val="20"/>
        </w:rPr>
      </w:pPr>
    </w:p>
    <w:p w14:paraId="22846A17" w14:textId="77777777" w:rsidR="006D6100" w:rsidRPr="003B37F4" w:rsidRDefault="00B33F7D" w:rsidP="006D6100">
      <w:pPr>
        <w:suppressAutoHyphens/>
        <w:spacing w:line="240" w:lineRule="atLeast"/>
        <w:ind w:left="720"/>
        <w:rPr>
          <w:rFonts w:cs="Arial"/>
          <w:b/>
          <w:szCs w:val="20"/>
        </w:rPr>
      </w:pPr>
      <w:r w:rsidRPr="003B37F4">
        <w:rPr>
          <w:rFonts w:cs="Arial"/>
          <w:szCs w:val="20"/>
        </w:rPr>
        <w:t>The assets above</w:t>
      </w:r>
      <w:r w:rsidR="00BA15B9" w:rsidRPr="003B37F4">
        <w:rPr>
          <w:rFonts w:cs="Arial"/>
          <w:szCs w:val="20"/>
        </w:rPr>
        <w:t xml:space="preserve"> include approximately $11</w:t>
      </w:r>
      <w:r w:rsidR="000A432C" w:rsidRPr="003B37F4">
        <w:rPr>
          <w:rFonts w:cs="Arial"/>
          <w:szCs w:val="20"/>
        </w:rPr>
        <w:t>.3</w:t>
      </w:r>
      <w:r w:rsidR="002E7702" w:rsidRPr="003B37F4">
        <w:rPr>
          <w:rFonts w:cs="Arial"/>
          <w:szCs w:val="20"/>
        </w:rPr>
        <w:t xml:space="preserve"> million and $11</w:t>
      </w:r>
      <w:r w:rsidR="000A432C" w:rsidRPr="003B37F4">
        <w:rPr>
          <w:rFonts w:cs="Arial"/>
          <w:szCs w:val="20"/>
        </w:rPr>
        <w:t>.5</w:t>
      </w:r>
      <w:r w:rsidR="006D6100" w:rsidRPr="003B37F4">
        <w:rPr>
          <w:rFonts w:cs="Arial"/>
          <w:szCs w:val="20"/>
        </w:rPr>
        <w:t xml:space="preserve"> million of unpaid claims t</w:t>
      </w:r>
      <w:r w:rsidR="000A432C" w:rsidRPr="003B37F4">
        <w:rPr>
          <w:rFonts w:cs="Arial"/>
          <w:szCs w:val="20"/>
        </w:rPr>
        <w:t>o be billed to approximately 527</w:t>
      </w:r>
      <w:r w:rsidR="006D6100" w:rsidRPr="003B37F4">
        <w:rPr>
          <w:rFonts w:cs="Arial"/>
          <w:szCs w:val="20"/>
        </w:rPr>
        <w:t xml:space="preserve"> member governments in the</w:t>
      </w:r>
      <w:r w:rsidR="002E7702" w:rsidRPr="003B37F4">
        <w:rPr>
          <w:rFonts w:cs="Arial"/>
          <w:szCs w:val="20"/>
        </w:rPr>
        <w:t xml:space="preserve"> future, as of</w:t>
      </w:r>
      <w:r w:rsidR="000A432C" w:rsidRPr="003B37F4">
        <w:rPr>
          <w:rFonts w:cs="Arial"/>
          <w:szCs w:val="20"/>
        </w:rPr>
        <w:t xml:space="preserve"> December 31, </w:t>
      </w:r>
      <w:proofErr w:type="gramStart"/>
      <w:r w:rsidR="000A432C" w:rsidRPr="003B37F4">
        <w:rPr>
          <w:rFonts w:cs="Arial"/>
          <w:szCs w:val="20"/>
        </w:rPr>
        <w:t>2017</w:t>
      </w:r>
      <w:proofErr w:type="gramEnd"/>
      <w:r w:rsidR="000A432C" w:rsidRPr="003B37F4">
        <w:rPr>
          <w:rFonts w:cs="Arial"/>
          <w:szCs w:val="20"/>
        </w:rPr>
        <w:t xml:space="preserve"> and 2016</w:t>
      </w:r>
      <w:r w:rsidR="00E52834" w:rsidRPr="003B37F4">
        <w:rPr>
          <w:rFonts w:cs="Arial"/>
          <w:szCs w:val="20"/>
        </w:rPr>
        <w:t xml:space="preserve">, respectively. </w:t>
      </w:r>
      <w:r w:rsidR="006D6100" w:rsidRPr="003B37F4">
        <w:rPr>
          <w:rFonts w:cs="Arial"/>
          <w:szCs w:val="20"/>
        </w:rPr>
        <w:t>These amounts will be included in future contributions from members when the related claims are due for paym</w:t>
      </w:r>
      <w:r w:rsidR="00675EEA" w:rsidRPr="003B37F4">
        <w:rPr>
          <w:rFonts w:cs="Arial"/>
          <w:szCs w:val="20"/>
        </w:rPr>
        <w:t xml:space="preserve">ent.  </w:t>
      </w:r>
    </w:p>
    <w:p w14:paraId="4CE6C50E" w14:textId="77777777" w:rsidR="006D6100" w:rsidRPr="003B37F4" w:rsidRDefault="006D6100" w:rsidP="006D6100">
      <w:pPr>
        <w:suppressAutoHyphens/>
        <w:spacing w:line="240" w:lineRule="atLeast"/>
        <w:ind w:left="720"/>
        <w:rPr>
          <w:rFonts w:cs="Arial"/>
          <w:szCs w:val="20"/>
        </w:rPr>
      </w:pPr>
      <w:r w:rsidRPr="003B37F4">
        <w:rPr>
          <w:rFonts w:cs="Arial"/>
          <w:szCs w:val="20"/>
        </w:rPr>
        <w:t>Based on discussions with PEP, the expected rates PEP charges to compute member contributions, which are used to pay claims as they become due, are not expected to change significantly from those used to determine the historical contributions detailed below.  By contract, the annual liability of each member is limited to the amount financial contributions required to be made to PEP for each year of membership.</w:t>
      </w:r>
    </w:p>
    <w:p w14:paraId="4C22759D" w14:textId="77777777" w:rsidR="004478EF" w:rsidRPr="003B37F4" w:rsidRDefault="004478EF" w:rsidP="006D6100">
      <w:pPr>
        <w:suppressAutoHyphens/>
        <w:spacing w:line="240" w:lineRule="atLeast"/>
        <w:ind w:left="720"/>
        <w:rPr>
          <w:rFonts w:cs="Arial"/>
          <w:szCs w:val="20"/>
        </w:rPr>
      </w:pPr>
    </w:p>
    <w:p w14:paraId="6106E578" w14:textId="77777777" w:rsidR="006D6100" w:rsidRPr="003B37F4" w:rsidRDefault="006D6100" w:rsidP="006D6100">
      <w:pPr>
        <w:suppressAutoHyphens/>
        <w:spacing w:line="240" w:lineRule="atLeast"/>
        <w:ind w:left="720"/>
        <w:rPr>
          <w:rFonts w:cs="Arial"/>
          <w:szCs w:val="20"/>
        </w:rPr>
      </w:pPr>
    </w:p>
    <w:tbl>
      <w:tblPr>
        <w:tblW w:w="3305" w:type="dxa"/>
        <w:jc w:val="center"/>
        <w:tblLook w:val="04A0" w:firstRow="1" w:lastRow="0" w:firstColumn="1" w:lastColumn="0" w:noHBand="0" w:noVBand="1"/>
      </w:tblPr>
      <w:tblGrid>
        <w:gridCol w:w="1652"/>
        <w:gridCol w:w="1653"/>
      </w:tblGrid>
      <w:tr w:rsidR="006D6100" w:rsidRPr="003B37F4" w14:paraId="2C522081" w14:textId="77777777" w:rsidTr="006D6100">
        <w:trPr>
          <w:trHeight w:val="499"/>
          <w:jc w:val="center"/>
        </w:trPr>
        <w:tc>
          <w:tcPr>
            <w:tcW w:w="3305" w:type="dxa"/>
            <w:gridSpan w:val="2"/>
            <w:tcBorders>
              <w:top w:val="single" w:sz="4" w:space="0" w:color="auto"/>
              <w:left w:val="single" w:sz="4" w:space="0" w:color="auto"/>
              <w:bottom w:val="nil"/>
              <w:right w:val="single" w:sz="4" w:space="0" w:color="000000"/>
            </w:tcBorders>
            <w:noWrap/>
            <w:vAlign w:val="bottom"/>
            <w:hideMark/>
          </w:tcPr>
          <w:p w14:paraId="609E19D6" w14:textId="77777777" w:rsidR="006D6100" w:rsidRPr="003B37F4" w:rsidRDefault="006D6100" w:rsidP="006D6100">
            <w:pPr>
              <w:suppressAutoHyphens/>
              <w:spacing w:line="240" w:lineRule="atLeast"/>
              <w:ind w:left="720"/>
              <w:rPr>
                <w:rFonts w:cs="Arial"/>
                <w:b/>
                <w:szCs w:val="20"/>
                <w:u w:val="single"/>
              </w:rPr>
            </w:pPr>
            <w:r w:rsidRPr="003B37F4">
              <w:rPr>
                <w:rFonts w:cs="Arial"/>
                <w:b/>
                <w:szCs w:val="20"/>
                <w:u w:val="single"/>
              </w:rPr>
              <w:t>Contributions to PEP</w:t>
            </w:r>
          </w:p>
        </w:tc>
      </w:tr>
      <w:tr w:rsidR="006D6100" w:rsidRPr="003B37F4" w14:paraId="38081CE4" w14:textId="77777777" w:rsidTr="006D6100">
        <w:trPr>
          <w:trHeight w:val="381"/>
          <w:jc w:val="center"/>
        </w:trPr>
        <w:tc>
          <w:tcPr>
            <w:tcW w:w="1652" w:type="dxa"/>
            <w:tcBorders>
              <w:top w:val="single" w:sz="4" w:space="0" w:color="auto"/>
              <w:left w:val="single" w:sz="4" w:space="0" w:color="auto"/>
              <w:bottom w:val="nil"/>
              <w:right w:val="single" w:sz="4" w:space="0" w:color="auto"/>
            </w:tcBorders>
            <w:noWrap/>
            <w:vAlign w:val="bottom"/>
            <w:hideMark/>
          </w:tcPr>
          <w:p w14:paraId="65B5AEB5" w14:textId="77777777" w:rsidR="006D6100" w:rsidRPr="003B37F4" w:rsidRDefault="008C2861" w:rsidP="006D6100">
            <w:pPr>
              <w:suppressAutoHyphens/>
              <w:spacing w:line="240" w:lineRule="atLeast"/>
              <w:ind w:left="720"/>
              <w:rPr>
                <w:rFonts w:cs="Arial"/>
                <w:b/>
                <w:szCs w:val="20"/>
                <w:u w:val="single"/>
              </w:rPr>
            </w:pPr>
            <w:r w:rsidRPr="003B37F4">
              <w:rPr>
                <w:rFonts w:cs="Arial"/>
                <w:b/>
                <w:szCs w:val="20"/>
                <w:u w:val="single"/>
              </w:rPr>
              <w:t>2019</w:t>
            </w:r>
          </w:p>
        </w:tc>
        <w:tc>
          <w:tcPr>
            <w:tcW w:w="1652" w:type="dxa"/>
            <w:tcBorders>
              <w:top w:val="single" w:sz="4" w:space="0" w:color="auto"/>
              <w:left w:val="nil"/>
              <w:bottom w:val="nil"/>
              <w:right w:val="single" w:sz="4" w:space="0" w:color="auto"/>
            </w:tcBorders>
            <w:noWrap/>
            <w:vAlign w:val="bottom"/>
            <w:hideMark/>
          </w:tcPr>
          <w:p w14:paraId="05FC384A" w14:textId="77777777" w:rsidR="006D6100" w:rsidRPr="003B37F4" w:rsidRDefault="00675EEA" w:rsidP="006D6100">
            <w:pPr>
              <w:suppressAutoHyphens/>
              <w:spacing w:line="240" w:lineRule="atLeast"/>
              <w:ind w:left="720"/>
              <w:rPr>
                <w:rFonts w:cs="Arial"/>
                <w:b/>
                <w:szCs w:val="20"/>
                <w:u w:val="single"/>
              </w:rPr>
            </w:pPr>
            <w:r w:rsidRPr="003B37F4">
              <w:rPr>
                <w:rFonts w:cs="Arial"/>
                <w:b/>
                <w:szCs w:val="20"/>
                <w:u w:val="single"/>
              </w:rPr>
              <w:t>20</w:t>
            </w:r>
            <w:r w:rsidR="008C2861" w:rsidRPr="003B37F4">
              <w:rPr>
                <w:rFonts w:cs="Arial"/>
                <w:b/>
                <w:szCs w:val="20"/>
                <w:u w:val="single"/>
              </w:rPr>
              <w:t>17</w:t>
            </w:r>
          </w:p>
        </w:tc>
      </w:tr>
      <w:tr w:rsidR="006D6100" w:rsidRPr="003B37F4" w14:paraId="7A3EE898" w14:textId="77777777" w:rsidTr="006D6100">
        <w:trPr>
          <w:trHeight w:val="411"/>
          <w:jc w:val="center"/>
        </w:trPr>
        <w:tc>
          <w:tcPr>
            <w:tcW w:w="1652" w:type="dxa"/>
            <w:tcBorders>
              <w:top w:val="nil"/>
              <w:left w:val="single" w:sz="4" w:space="0" w:color="auto"/>
              <w:bottom w:val="single" w:sz="4" w:space="0" w:color="auto"/>
              <w:right w:val="single" w:sz="4" w:space="0" w:color="auto"/>
            </w:tcBorders>
            <w:noWrap/>
            <w:vAlign w:val="bottom"/>
            <w:hideMark/>
          </w:tcPr>
          <w:p w14:paraId="2A491E89" w14:textId="77777777" w:rsidR="006D6100" w:rsidRPr="003B37F4" w:rsidRDefault="000A432C" w:rsidP="008C2861">
            <w:pPr>
              <w:suppressAutoHyphens/>
              <w:spacing w:line="240" w:lineRule="atLeast"/>
              <w:ind w:left="720"/>
              <w:rPr>
                <w:rFonts w:cs="Arial"/>
                <w:szCs w:val="20"/>
              </w:rPr>
            </w:pPr>
            <w:r w:rsidRPr="003B37F4">
              <w:rPr>
                <w:rFonts w:cs="Arial"/>
                <w:szCs w:val="20"/>
              </w:rPr>
              <w:t>3</w:t>
            </w:r>
            <w:r w:rsidR="008C2861" w:rsidRPr="003B37F4">
              <w:rPr>
                <w:rFonts w:cs="Arial"/>
                <w:szCs w:val="20"/>
              </w:rPr>
              <w:t>902</w:t>
            </w:r>
          </w:p>
        </w:tc>
        <w:tc>
          <w:tcPr>
            <w:tcW w:w="1652" w:type="dxa"/>
            <w:tcBorders>
              <w:top w:val="nil"/>
              <w:left w:val="nil"/>
              <w:bottom w:val="single" w:sz="4" w:space="0" w:color="auto"/>
              <w:right w:val="single" w:sz="4" w:space="0" w:color="auto"/>
            </w:tcBorders>
            <w:noWrap/>
            <w:vAlign w:val="bottom"/>
            <w:hideMark/>
          </w:tcPr>
          <w:p w14:paraId="52254117" w14:textId="77777777" w:rsidR="006D6100" w:rsidRPr="003B37F4" w:rsidRDefault="000A432C" w:rsidP="006D6100">
            <w:pPr>
              <w:suppressAutoHyphens/>
              <w:spacing w:line="240" w:lineRule="atLeast"/>
              <w:ind w:left="720"/>
              <w:rPr>
                <w:rFonts w:cs="Arial"/>
                <w:szCs w:val="20"/>
              </w:rPr>
            </w:pPr>
            <w:r w:rsidRPr="003B37F4">
              <w:rPr>
                <w:rFonts w:cs="Arial"/>
                <w:szCs w:val="20"/>
              </w:rPr>
              <w:t>3</w:t>
            </w:r>
            <w:r w:rsidR="008C2861" w:rsidRPr="003B37F4">
              <w:rPr>
                <w:rFonts w:cs="Arial"/>
                <w:szCs w:val="20"/>
              </w:rPr>
              <w:t>840</w:t>
            </w:r>
            <w:r w:rsidR="006D6100" w:rsidRPr="003B37F4">
              <w:rPr>
                <w:rFonts w:cs="Arial"/>
                <w:szCs w:val="20"/>
              </w:rPr>
              <w:t> </w:t>
            </w:r>
          </w:p>
        </w:tc>
      </w:tr>
    </w:tbl>
    <w:p w14:paraId="5A6DF5DF" w14:textId="77777777" w:rsidR="00FA0A5B" w:rsidRPr="003B37F4" w:rsidRDefault="00FA0A5B" w:rsidP="006D6100">
      <w:pPr>
        <w:suppressAutoHyphens/>
        <w:spacing w:line="240" w:lineRule="atLeast"/>
        <w:ind w:left="720"/>
        <w:rPr>
          <w:rFonts w:cs="Arial"/>
          <w:b/>
          <w:szCs w:val="20"/>
        </w:rPr>
      </w:pPr>
    </w:p>
    <w:p w14:paraId="477E4028" w14:textId="77777777" w:rsidR="004478EF" w:rsidRPr="003B37F4" w:rsidRDefault="004478EF" w:rsidP="006D6100">
      <w:pPr>
        <w:suppressAutoHyphens/>
        <w:spacing w:line="240" w:lineRule="atLeast"/>
        <w:ind w:left="720"/>
        <w:rPr>
          <w:rFonts w:cs="Arial"/>
          <w:b/>
          <w:szCs w:val="20"/>
        </w:rPr>
      </w:pPr>
    </w:p>
    <w:p w14:paraId="517017B2" w14:textId="77777777" w:rsidR="006D6100" w:rsidRPr="003B37F4" w:rsidRDefault="00F55F68" w:rsidP="006D6100">
      <w:pPr>
        <w:suppressAutoHyphens/>
        <w:spacing w:line="240" w:lineRule="atLeast"/>
        <w:ind w:left="720"/>
        <w:rPr>
          <w:rFonts w:cs="Arial"/>
          <w:b/>
          <w:szCs w:val="20"/>
        </w:rPr>
      </w:pPr>
      <w:r w:rsidRPr="003B37F4">
        <w:rPr>
          <w:rFonts w:cs="Arial"/>
          <w:b/>
          <w:szCs w:val="20"/>
        </w:rPr>
        <w:t>The Champaign Health District</w:t>
      </w:r>
      <w:r w:rsidR="002F00F7" w:rsidRPr="003B37F4">
        <w:rPr>
          <w:rFonts w:cs="Arial"/>
          <w:b/>
          <w:szCs w:val="20"/>
        </w:rPr>
        <w:t>’</w:t>
      </w:r>
      <w:r w:rsidRPr="003B37F4">
        <w:rPr>
          <w:rFonts w:cs="Arial"/>
          <w:b/>
          <w:szCs w:val="20"/>
        </w:rPr>
        <w:t xml:space="preserve">s </w:t>
      </w:r>
      <w:r w:rsidR="006D6100" w:rsidRPr="003B37F4">
        <w:rPr>
          <w:rFonts w:cs="Arial"/>
          <w:b/>
          <w:szCs w:val="20"/>
        </w:rPr>
        <w:t xml:space="preserve">actual contributions for </w:t>
      </w:r>
      <w:r w:rsidR="008C2861" w:rsidRPr="003B37F4">
        <w:rPr>
          <w:rFonts w:cs="Arial"/>
          <w:b/>
          <w:szCs w:val="20"/>
        </w:rPr>
        <w:t>2019 and 2017</w:t>
      </w:r>
      <w:r w:rsidRPr="003B37F4">
        <w:rPr>
          <w:rFonts w:cs="Arial"/>
          <w:b/>
          <w:szCs w:val="20"/>
        </w:rPr>
        <w:t xml:space="preserve"> in table above.</w:t>
      </w:r>
    </w:p>
    <w:p w14:paraId="5449E759" w14:textId="77777777" w:rsidR="004478EF" w:rsidRPr="003B37F4" w:rsidRDefault="004478EF" w:rsidP="006D6100">
      <w:pPr>
        <w:suppressAutoHyphens/>
        <w:spacing w:line="240" w:lineRule="atLeast"/>
        <w:ind w:left="720"/>
        <w:rPr>
          <w:rFonts w:cs="Arial"/>
          <w:b/>
          <w:szCs w:val="20"/>
        </w:rPr>
      </w:pPr>
    </w:p>
    <w:p w14:paraId="323D1973" w14:textId="77777777" w:rsidR="004478EF" w:rsidRPr="003B37F4" w:rsidRDefault="004478EF" w:rsidP="006D6100">
      <w:pPr>
        <w:suppressAutoHyphens/>
        <w:spacing w:line="240" w:lineRule="atLeast"/>
        <w:ind w:left="720"/>
        <w:rPr>
          <w:rFonts w:cs="Arial"/>
          <w:b/>
          <w:szCs w:val="20"/>
        </w:rPr>
      </w:pPr>
    </w:p>
    <w:p w14:paraId="6D061BA1" w14:textId="77777777" w:rsidR="004478EF" w:rsidRPr="003B37F4" w:rsidRDefault="004478EF" w:rsidP="006D6100">
      <w:pPr>
        <w:suppressAutoHyphens/>
        <w:spacing w:line="240" w:lineRule="atLeast"/>
        <w:ind w:left="720"/>
        <w:rPr>
          <w:rFonts w:cs="Arial"/>
          <w:b/>
          <w:szCs w:val="20"/>
        </w:rPr>
      </w:pPr>
    </w:p>
    <w:p w14:paraId="1E5EDAF0" w14:textId="77777777" w:rsidR="004478EF" w:rsidRPr="003B37F4" w:rsidRDefault="004478EF" w:rsidP="006D6100">
      <w:pPr>
        <w:suppressAutoHyphens/>
        <w:spacing w:line="240" w:lineRule="atLeast"/>
        <w:ind w:left="720"/>
        <w:rPr>
          <w:rFonts w:cs="Arial"/>
          <w:b/>
          <w:szCs w:val="20"/>
        </w:rPr>
      </w:pPr>
    </w:p>
    <w:p w14:paraId="3801EEF2" w14:textId="77777777" w:rsidR="004478EF" w:rsidRPr="003B37F4" w:rsidRDefault="004478EF" w:rsidP="006D6100">
      <w:pPr>
        <w:suppressAutoHyphens/>
        <w:spacing w:line="240" w:lineRule="atLeast"/>
        <w:ind w:left="720"/>
        <w:rPr>
          <w:rFonts w:cs="Arial"/>
          <w:b/>
          <w:szCs w:val="20"/>
        </w:rPr>
      </w:pPr>
    </w:p>
    <w:p w14:paraId="3D3897E0" w14:textId="77777777" w:rsidR="004478EF" w:rsidRPr="003B37F4" w:rsidRDefault="004478EF" w:rsidP="006D6100">
      <w:pPr>
        <w:suppressAutoHyphens/>
        <w:spacing w:line="240" w:lineRule="atLeast"/>
        <w:ind w:left="720"/>
        <w:rPr>
          <w:rFonts w:cs="Arial"/>
          <w:b/>
          <w:szCs w:val="20"/>
        </w:rPr>
      </w:pPr>
    </w:p>
    <w:p w14:paraId="3F273DAC" w14:textId="77777777" w:rsidR="004478EF" w:rsidRPr="003B37F4" w:rsidRDefault="004478EF" w:rsidP="006D6100">
      <w:pPr>
        <w:suppressAutoHyphens/>
        <w:spacing w:line="240" w:lineRule="atLeast"/>
        <w:ind w:left="720"/>
        <w:rPr>
          <w:rFonts w:cs="Arial"/>
          <w:b/>
          <w:szCs w:val="20"/>
        </w:rPr>
      </w:pPr>
    </w:p>
    <w:p w14:paraId="5F75CC65" w14:textId="77777777" w:rsidR="004478EF" w:rsidRPr="003B37F4" w:rsidRDefault="004478EF" w:rsidP="006D6100">
      <w:pPr>
        <w:suppressAutoHyphens/>
        <w:spacing w:line="240" w:lineRule="atLeast"/>
        <w:ind w:left="720"/>
        <w:rPr>
          <w:rFonts w:cs="Arial"/>
          <w:b/>
          <w:szCs w:val="20"/>
        </w:rPr>
      </w:pPr>
    </w:p>
    <w:p w14:paraId="452F2186" w14:textId="77777777" w:rsidR="004478EF" w:rsidRPr="003B37F4" w:rsidRDefault="004478EF" w:rsidP="006D6100">
      <w:pPr>
        <w:suppressAutoHyphens/>
        <w:spacing w:line="240" w:lineRule="atLeast"/>
        <w:ind w:left="720"/>
        <w:rPr>
          <w:rFonts w:cs="Arial"/>
          <w:b/>
          <w:szCs w:val="20"/>
        </w:rPr>
      </w:pPr>
    </w:p>
    <w:p w14:paraId="3C25DB8F" w14:textId="77777777" w:rsidR="007916FF" w:rsidRPr="003B37F4" w:rsidRDefault="006D6100" w:rsidP="00FA0A5B">
      <w:pPr>
        <w:suppressAutoHyphens/>
        <w:spacing w:line="240" w:lineRule="atLeast"/>
        <w:ind w:left="720"/>
        <w:rPr>
          <w:rFonts w:cs="Arial"/>
          <w:szCs w:val="20"/>
        </w:rPr>
      </w:pPr>
      <w:r w:rsidRPr="003B37F4">
        <w:rPr>
          <w:rFonts w:cs="Arial"/>
          <w:szCs w:val="20"/>
        </w:rPr>
        <w:t xml:space="preserve">After one year of membership, a member may withdraw on the anniversary of the date of joining </w:t>
      </w:r>
      <w:r w:rsidRPr="003B37F4">
        <w:rPr>
          <w:rFonts w:cs="Arial"/>
          <w:szCs w:val="20"/>
        </w:rPr>
        <w:lastRenderedPageBreak/>
        <w:t xml:space="preserve">PEP, if the member notifies PEP in writing (via certified mail) 60 days prior to the anniversary date.  Upon withdrawal, members are eligible for a full or partial refund of their capital contributions, minus the subsequent year’s contribution.  Withdrawing members have no other future obligation to PEP.  </w:t>
      </w:r>
      <w:proofErr w:type="gramStart"/>
      <w:r w:rsidRPr="003B37F4">
        <w:rPr>
          <w:rFonts w:cs="Arial"/>
          <w:szCs w:val="20"/>
        </w:rPr>
        <w:t>Also</w:t>
      </w:r>
      <w:proofErr w:type="gramEnd"/>
      <w:r w:rsidRPr="003B37F4">
        <w:rPr>
          <w:rFonts w:cs="Arial"/>
          <w:szCs w:val="20"/>
        </w:rPr>
        <w:t xml:space="preserve"> upon withdrawal, payments for all casualty claims and claim expense become the sole responsibility of the withdrawing member, regardless of whether a claim occurred or was reported prior to the withdrawal.</w:t>
      </w:r>
    </w:p>
    <w:p w14:paraId="1364DA8A" w14:textId="77777777" w:rsidR="00FA0A5B" w:rsidRPr="003B37F4" w:rsidRDefault="00FA0A5B" w:rsidP="00FA0A5B">
      <w:pPr>
        <w:suppressAutoHyphens/>
        <w:spacing w:line="240" w:lineRule="atLeast"/>
        <w:ind w:left="720"/>
        <w:rPr>
          <w:rFonts w:cs="Arial"/>
          <w:szCs w:val="20"/>
        </w:rPr>
      </w:pPr>
    </w:p>
    <w:p w14:paraId="1F208E97" w14:textId="77777777" w:rsidR="007916FF" w:rsidRPr="003B37F4" w:rsidRDefault="007916FF" w:rsidP="00B61AEF">
      <w:pPr>
        <w:pStyle w:val="Heading3"/>
      </w:pPr>
      <w:r w:rsidRPr="003B37F4">
        <w:tab/>
      </w:r>
      <w:bookmarkStart w:id="95" w:name="_Toc284945554"/>
      <w:bookmarkStart w:id="96" w:name="_Toc315938449"/>
      <w:r w:rsidRPr="003B37F4">
        <w:t>C.</w:t>
      </w:r>
      <w:r w:rsidRPr="003B37F4">
        <w:tab/>
        <w:t>County Commissioner Association of Ohio Workers’ Compensation Group Rating Plan</w:t>
      </w:r>
      <w:bookmarkEnd w:id="95"/>
      <w:bookmarkEnd w:id="96"/>
    </w:p>
    <w:p w14:paraId="3F0B0202" w14:textId="77777777" w:rsidR="00B61AEF" w:rsidRPr="003B37F4" w:rsidRDefault="00B61AEF" w:rsidP="007916FF">
      <w:pPr>
        <w:pStyle w:val="PlainText"/>
        <w:tabs>
          <w:tab w:val="left" w:pos="547"/>
          <w:tab w:val="left" w:pos="907"/>
          <w:tab w:val="left" w:pos="1440"/>
          <w:tab w:val="left" w:pos="1987"/>
          <w:tab w:val="left" w:pos="2347"/>
        </w:tabs>
        <w:ind w:left="900"/>
        <w:jc w:val="both"/>
        <w:rPr>
          <w:rFonts w:ascii="Arial" w:hAnsi="Arial" w:cs="Arial"/>
        </w:rPr>
      </w:pPr>
    </w:p>
    <w:p w14:paraId="2458E7B0" w14:textId="0FB40220" w:rsidR="007916FF" w:rsidRPr="003B37F4" w:rsidRDefault="007916FF" w:rsidP="007916FF">
      <w:pPr>
        <w:pStyle w:val="PlainText"/>
        <w:tabs>
          <w:tab w:val="left" w:pos="547"/>
          <w:tab w:val="left" w:pos="907"/>
          <w:tab w:val="left" w:pos="1440"/>
          <w:tab w:val="left" w:pos="1987"/>
          <w:tab w:val="left" w:pos="2347"/>
        </w:tabs>
        <w:ind w:left="900"/>
        <w:jc w:val="both"/>
        <w:rPr>
          <w:rFonts w:ascii="Arial" w:hAnsi="Arial" w:cs="Arial"/>
        </w:rPr>
      </w:pPr>
      <w:r w:rsidRPr="003B37F4">
        <w:rPr>
          <w:rFonts w:ascii="Arial" w:hAnsi="Arial" w:cs="Arial"/>
        </w:rPr>
        <w:t xml:space="preserve">For </w:t>
      </w:r>
      <w:r w:rsidR="008C2861" w:rsidRPr="003B37F4">
        <w:rPr>
          <w:rFonts w:ascii="Arial" w:hAnsi="Arial" w:cs="Arial"/>
        </w:rPr>
        <w:t>20</w:t>
      </w:r>
      <w:r w:rsidR="00CE7681" w:rsidRPr="003B37F4">
        <w:rPr>
          <w:rFonts w:ascii="Arial" w:hAnsi="Arial" w:cs="Arial"/>
        </w:rPr>
        <w:t>21</w:t>
      </w:r>
      <w:r w:rsidR="00444F77" w:rsidRPr="003B37F4">
        <w:rPr>
          <w:rFonts w:ascii="Arial" w:hAnsi="Arial" w:cs="Arial"/>
        </w:rPr>
        <w:t>,</w:t>
      </w:r>
      <w:r w:rsidRPr="003B37F4">
        <w:rPr>
          <w:rFonts w:ascii="Arial" w:hAnsi="Arial" w:cs="Arial"/>
        </w:rPr>
        <w:t xml:space="preserve"> the Health District, through Champaign County as their fiscal agent, participated in the State of Ohio Worker’s Compensation system.  The Health District budgets </w:t>
      </w:r>
      <w:r w:rsidR="004868F0" w:rsidRPr="003B37F4">
        <w:rPr>
          <w:rFonts w:ascii="Arial" w:hAnsi="Arial" w:cs="Arial"/>
        </w:rPr>
        <w:t>4.5</w:t>
      </w:r>
      <w:r w:rsidRPr="003B37F4">
        <w:rPr>
          <w:rFonts w:ascii="Arial" w:hAnsi="Arial" w:cs="Arial"/>
        </w:rPr>
        <w:t xml:space="preserve">% of wages to provide Workers’ Compensation coverage for </w:t>
      </w:r>
      <w:r w:rsidR="005A69F9" w:rsidRPr="003B37F4">
        <w:rPr>
          <w:rFonts w:ascii="Arial" w:hAnsi="Arial" w:cs="Arial"/>
        </w:rPr>
        <w:t>its</w:t>
      </w:r>
      <w:r w:rsidRPr="003B37F4">
        <w:rPr>
          <w:rFonts w:ascii="Arial" w:hAnsi="Arial" w:cs="Arial"/>
        </w:rPr>
        <w:t xml:space="preserve">’ </w:t>
      </w:r>
      <w:r w:rsidR="00227D4C" w:rsidRPr="003B37F4">
        <w:rPr>
          <w:rFonts w:ascii="Arial" w:hAnsi="Arial" w:cs="Arial"/>
        </w:rPr>
        <w:t xml:space="preserve">employees; this amount will </w:t>
      </w:r>
      <w:r w:rsidR="008C2861" w:rsidRPr="003B37F4">
        <w:rPr>
          <w:rFonts w:ascii="Arial" w:hAnsi="Arial" w:cs="Arial"/>
        </w:rPr>
        <w:t>remain the same for 202</w:t>
      </w:r>
      <w:r w:rsidR="00CE7681" w:rsidRPr="003B37F4">
        <w:rPr>
          <w:rFonts w:ascii="Arial" w:hAnsi="Arial" w:cs="Arial"/>
        </w:rPr>
        <w:t>2</w:t>
      </w:r>
      <w:r w:rsidR="004868F0" w:rsidRPr="003B37F4">
        <w:rPr>
          <w:rFonts w:ascii="Arial" w:hAnsi="Arial" w:cs="Arial"/>
        </w:rPr>
        <w:t>.</w:t>
      </w:r>
    </w:p>
    <w:p w14:paraId="01BD0011" w14:textId="77777777" w:rsidR="00FA0A5B" w:rsidRPr="003B37F4" w:rsidRDefault="007916FF">
      <w:pPr>
        <w:widowControl/>
        <w:autoSpaceDE/>
        <w:autoSpaceDN/>
        <w:adjustRightInd/>
        <w:spacing w:after="200"/>
      </w:pPr>
      <w:r w:rsidRPr="003B37F4">
        <w:tab/>
      </w:r>
      <w:bookmarkStart w:id="97" w:name="_Toc284945555"/>
      <w:bookmarkStart w:id="98" w:name="_Toc315938450"/>
    </w:p>
    <w:p w14:paraId="4AB83756" w14:textId="77777777" w:rsidR="00FA0A5B" w:rsidRPr="003B37F4" w:rsidRDefault="00FA0A5B" w:rsidP="00FA0A5B">
      <w:pPr>
        <w:keepNext/>
        <w:keepLines/>
        <w:spacing w:before="200"/>
        <w:outlineLvl w:val="2"/>
        <w:rPr>
          <w:rFonts w:asciiTheme="majorHAnsi" w:eastAsiaTheme="majorEastAsia" w:hAnsiTheme="majorHAnsi" w:cstheme="majorBidi"/>
          <w:b/>
          <w:bCs/>
          <w:color w:val="4F81BD" w:themeColor="accent1"/>
        </w:rPr>
      </w:pPr>
      <w:r w:rsidRPr="003B37F4">
        <w:rPr>
          <w:rFonts w:asciiTheme="majorHAnsi" w:eastAsiaTheme="majorEastAsia" w:hAnsiTheme="majorHAnsi" w:cstheme="majorBidi"/>
          <w:b/>
          <w:bCs/>
          <w:color w:val="4F81BD" w:themeColor="accent1"/>
        </w:rPr>
        <w:t xml:space="preserve">                 D.</w:t>
      </w:r>
      <w:r w:rsidRPr="003B37F4">
        <w:rPr>
          <w:rFonts w:asciiTheme="majorHAnsi" w:eastAsiaTheme="majorEastAsia" w:hAnsiTheme="majorHAnsi" w:cstheme="majorBidi"/>
          <w:b/>
          <w:bCs/>
          <w:color w:val="4F81BD" w:themeColor="accent1"/>
        </w:rPr>
        <w:tab/>
        <w:t>Employee Medical Benefits</w:t>
      </w:r>
    </w:p>
    <w:p w14:paraId="182FA9B3" w14:textId="77777777" w:rsidR="00FA0A5B" w:rsidRPr="003B37F4" w:rsidRDefault="00FA0A5B" w:rsidP="00FA0A5B">
      <w:pPr>
        <w:widowControl/>
        <w:tabs>
          <w:tab w:val="left" w:pos="547"/>
          <w:tab w:val="left" w:pos="907"/>
          <w:tab w:val="left" w:pos="1440"/>
          <w:tab w:val="left" w:pos="1987"/>
          <w:tab w:val="left" w:pos="2347"/>
        </w:tabs>
        <w:autoSpaceDE/>
        <w:autoSpaceDN/>
        <w:adjustRightInd/>
        <w:jc w:val="both"/>
        <w:rPr>
          <w:rFonts w:cs="Arial"/>
          <w:szCs w:val="20"/>
        </w:rPr>
      </w:pPr>
    </w:p>
    <w:p w14:paraId="778DFF22" w14:textId="77777777" w:rsidR="00FA0A5B" w:rsidRPr="003B37F4" w:rsidRDefault="00FA0A5B" w:rsidP="00FA0A5B">
      <w:pPr>
        <w:widowControl/>
        <w:tabs>
          <w:tab w:val="left" w:pos="547"/>
          <w:tab w:val="left" w:pos="907"/>
          <w:tab w:val="left" w:pos="1440"/>
          <w:tab w:val="left" w:pos="1987"/>
          <w:tab w:val="left" w:pos="2347"/>
        </w:tabs>
        <w:autoSpaceDE/>
        <w:autoSpaceDN/>
        <w:adjustRightInd/>
        <w:ind w:left="900"/>
        <w:jc w:val="both"/>
        <w:rPr>
          <w:rFonts w:cs="Arial"/>
          <w:szCs w:val="20"/>
        </w:rPr>
      </w:pPr>
      <w:r w:rsidRPr="003B37F4">
        <w:rPr>
          <w:rFonts w:cs="Arial"/>
          <w:szCs w:val="20"/>
        </w:rPr>
        <w:t xml:space="preserve">The Health District participates in a health insurance plan through Anthem available for all fulltime employees.  The fully insured plan includes health, mental </w:t>
      </w:r>
      <w:proofErr w:type="gramStart"/>
      <w:r w:rsidRPr="003B37F4">
        <w:rPr>
          <w:rFonts w:cs="Arial"/>
          <w:szCs w:val="20"/>
        </w:rPr>
        <w:t>health</w:t>
      </w:r>
      <w:proofErr w:type="gramEnd"/>
      <w:r w:rsidRPr="003B37F4">
        <w:rPr>
          <w:rFonts w:cs="Arial"/>
          <w:szCs w:val="20"/>
        </w:rPr>
        <w:t xml:space="preserve"> and prescription benefits.</w:t>
      </w:r>
    </w:p>
    <w:p w14:paraId="1D81A3A7" w14:textId="77777777" w:rsidR="00FA0A5B" w:rsidRPr="003B37F4" w:rsidRDefault="00FA0A5B" w:rsidP="00FA0A5B">
      <w:pPr>
        <w:widowControl/>
        <w:tabs>
          <w:tab w:val="left" w:pos="547"/>
          <w:tab w:val="left" w:pos="907"/>
          <w:tab w:val="left" w:pos="1440"/>
          <w:tab w:val="left" w:pos="1987"/>
          <w:tab w:val="left" w:pos="2347"/>
        </w:tabs>
        <w:autoSpaceDE/>
        <w:autoSpaceDN/>
        <w:adjustRightInd/>
        <w:ind w:left="900"/>
        <w:jc w:val="both"/>
        <w:rPr>
          <w:rFonts w:cs="Arial"/>
          <w:szCs w:val="20"/>
        </w:rPr>
      </w:pPr>
    </w:p>
    <w:p w14:paraId="11701184" w14:textId="204EAD56" w:rsidR="00FA0A5B" w:rsidRPr="003B37F4" w:rsidRDefault="00FA0A5B" w:rsidP="00FA0A5B">
      <w:pPr>
        <w:widowControl/>
        <w:tabs>
          <w:tab w:val="left" w:pos="547"/>
          <w:tab w:val="left" w:pos="907"/>
          <w:tab w:val="left" w:pos="1440"/>
          <w:tab w:val="left" w:pos="1987"/>
          <w:tab w:val="left" w:pos="2347"/>
        </w:tabs>
        <w:autoSpaceDE/>
        <w:autoSpaceDN/>
        <w:adjustRightInd/>
        <w:ind w:left="900"/>
        <w:jc w:val="both"/>
        <w:rPr>
          <w:rFonts w:cs="Arial"/>
          <w:szCs w:val="20"/>
        </w:rPr>
      </w:pPr>
      <w:r w:rsidRPr="003B37F4">
        <w:rPr>
          <w:rFonts w:cs="Arial"/>
          <w:szCs w:val="20"/>
        </w:rPr>
        <w:t>The cost of the program for 20</w:t>
      </w:r>
      <w:r w:rsidR="00B91B15" w:rsidRPr="003B37F4">
        <w:rPr>
          <w:rFonts w:cs="Arial"/>
          <w:szCs w:val="20"/>
        </w:rPr>
        <w:t>21</w:t>
      </w:r>
      <w:r w:rsidRPr="003B37F4">
        <w:rPr>
          <w:rFonts w:cs="Arial"/>
          <w:szCs w:val="20"/>
        </w:rPr>
        <w:t xml:space="preserve"> was </w:t>
      </w:r>
      <w:r w:rsidR="00BB23DB" w:rsidRPr="003B37F4">
        <w:rPr>
          <w:rFonts w:cs="Arial"/>
          <w:szCs w:val="20"/>
        </w:rPr>
        <w:t>$</w:t>
      </w:r>
      <w:r w:rsidR="00B91B15" w:rsidRPr="003B37F4">
        <w:rPr>
          <w:rFonts w:cs="Arial"/>
          <w:szCs w:val="20"/>
        </w:rPr>
        <w:t>173,172</w:t>
      </w:r>
      <w:r w:rsidR="001A55DD" w:rsidRPr="003B37F4">
        <w:rPr>
          <w:rFonts w:cs="Arial"/>
          <w:szCs w:val="20"/>
        </w:rPr>
        <w:t xml:space="preserve"> compared to $</w:t>
      </w:r>
      <w:r w:rsidR="00B91B15" w:rsidRPr="003B37F4">
        <w:rPr>
          <w:rFonts w:cs="Arial"/>
          <w:szCs w:val="20"/>
        </w:rPr>
        <w:t>126,980 in 2019</w:t>
      </w:r>
      <w:r w:rsidRPr="003B37F4">
        <w:rPr>
          <w:rFonts w:cs="Arial"/>
          <w:szCs w:val="20"/>
        </w:rPr>
        <w:t xml:space="preserve">. </w:t>
      </w:r>
    </w:p>
    <w:p w14:paraId="135CB23F" w14:textId="77777777" w:rsidR="00AF5D8D" w:rsidRPr="003B37F4" w:rsidRDefault="00AF5D8D">
      <w:pPr>
        <w:widowControl/>
        <w:autoSpaceDE/>
        <w:autoSpaceDN/>
        <w:adjustRightInd/>
        <w:spacing w:after="200"/>
      </w:pPr>
    </w:p>
    <w:p w14:paraId="662EE4B0" w14:textId="77777777" w:rsidR="00AF5D8D" w:rsidRPr="003B37F4" w:rsidRDefault="00AF5D8D" w:rsidP="00AF5D8D">
      <w:pPr>
        <w:pStyle w:val="Heading2"/>
      </w:pPr>
      <w:r w:rsidRPr="003B37F4">
        <w:t xml:space="preserve">  </w:t>
      </w:r>
      <w:bookmarkStart w:id="99" w:name="_Toc284945556"/>
      <w:bookmarkStart w:id="100" w:name="_Toc315938451"/>
      <w:r w:rsidRPr="003B37F4">
        <w:t>6.</w:t>
      </w:r>
      <w:r w:rsidRPr="003B37F4">
        <w:tab/>
        <w:t>DEFINED BENEFIT PENSION PLANS</w:t>
      </w:r>
      <w:bookmarkEnd w:id="99"/>
      <w:bookmarkEnd w:id="100"/>
    </w:p>
    <w:p w14:paraId="300830EB" w14:textId="77777777" w:rsidR="00AF5D8D" w:rsidRPr="003B37F4" w:rsidRDefault="00AF5D8D" w:rsidP="00AF5D8D">
      <w:pPr>
        <w:tabs>
          <w:tab w:val="left" w:pos="720"/>
        </w:tabs>
        <w:jc w:val="both"/>
        <w:rPr>
          <w:rFonts w:cs="Arial"/>
          <w:szCs w:val="20"/>
        </w:rPr>
      </w:pPr>
      <w:r w:rsidRPr="003B37F4">
        <w:rPr>
          <w:rFonts w:cs="Arial"/>
          <w:szCs w:val="20"/>
        </w:rPr>
        <w:tab/>
      </w:r>
      <w:r w:rsidRPr="003B37F4">
        <w:rPr>
          <w:rFonts w:cs="Arial"/>
          <w:szCs w:val="20"/>
        </w:rPr>
        <w:tab/>
      </w:r>
      <w:r w:rsidRPr="003B37F4">
        <w:rPr>
          <w:rFonts w:cs="Arial"/>
          <w:szCs w:val="20"/>
        </w:rPr>
        <w:tab/>
      </w:r>
    </w:p>
    <w:p w14:paraId="45498050" w14:textId="77777777" w:rsidR="00AF5D8D" w:rsidRPr="003B37F4" w:rsidRDefault="00AF5D8D" w:rsidP="00AF5D8D">
      <w:pPr>
        <w:ind w:left="720"/>
        <w:jc w:val="both"/>
        <w:rPr>
          <w:rFonts w:cs="Arial"/>
          <w:szCs w:val="20"/>
        </w:rPr>
      </w:pPr>
      <w:r w:rsidRPr="003B37F4">
        <w:rPr>
          <w:rFonts w:cs="Arial"/>
          <w:szCs w:val="20"/>
        </w:rPr>
        <w:t xml:space="preserve">The Health District participates in the Ohio Public Employees Retirement System (OPERS).  OPERS administers three separate pension plans.  The traditional plan is a cost-sharing, multiple-employer defined benefit pension plan.  The member-directed plan is a defined contribution plan in which the member invests both member and employer contributions (employer contributions vest over five years at 20 percent per year).  Under the member-directed plan, members accumulate retirement assets equal to the value of the member and vested employer contributions plus any investment earnings. </w:t>
      </w:r>
    </w:p>
    <w:p w14:paraId="2FCC47D8" w14:textId="77777777" w:rsidR="00AF5D8D" w:rsidRPr="003B37F4" w:rsidRDefault="00AF5D8D" w:rsidP="00AF5D8D">
      <w:pPr>
        <w:ind w:left="720"/>
        <w:jc w:val="both"/>
        <w:rPr>
          <w:rFonts w:cs="Arial"/>
          <w:szCs w:val="20"/>
        </w:rPr>
      </w:pPr>
    </w:p>
    <w:p w14:paraId="4AECE795" w14:textId="77777777" w:rsidR="00AF5D8D" w:rsidRPr="003B37F4" w:rsidRDefault="00AF5D8D" w:rsidP="00AF5D8D">
      <w:pPr>
        <w:ind w:left="720"/>
        <w:jc w:val="both"/>
        <w:rPr>
          <w:rFonts w:cs="Arial"/>
          <w:szCs w:val="20"/>
        </w:rPr>
      </w:pPr>
      <w:r w:rsidRPr="003B37F4">
        <w:rPr>
          <w:rFonts w:cs="Arial"/>
          <w:szCs w:val="20"/>
        </w:rPr>
        <w:t xml:space="preserve">The combined plan is a cost-sharing, multiple-employer defined benefit pension plan that has elements of both a defined benefit and a defined contribution plan.  Under the combined plan, employer contributions are invested by the retirement system to provide a formula retirement benefit </w:t>
      </w:r>
      <w:proofErr w:type="gramStart"/>
      <w:r w:rsidRPr="003B37F4">
        <w:rPr>
          <w:rFonts w:cs="Arial"/>
          <w:szCs w:val="20"/>
        </w:rPr>
        <w:t>similar to</w:t>
      </w:r>
      <w:proofErr w:type="gramEnd"/>
      <w:r w:rsidRPr="003B37F4">
        <w:rPr>
          <w:rFonts w:cs="Arial"/>
          <w:szCs w:val="20"/>
        </w:rPr>
        <w:t xml:space="preserve"> in nature to, but less than, the traditional plan benefit.  Member contributions, whose investment is self-directed by the member, accumulate retirement assets in a manner </w:t>
      </w:r>
      <w:proofErr w:type="gramStart"/>
      <w:r w:rsidRPr="003B37F4">
        <w:rPr>
          <w:rFonts w:cs="Arial"/>
          <w:szCs w:val="20"/>
        </w:rPr>
        <w:t>similar to</w:t>
      </w:r>
      <w:proofErr w:type="gramEnd"/>
      <w:r w:rsidRPr="003B37F4">
        <w:rPr>
          <w:rFonts w:cs="Arial"/>
          <w:szCs w:val="20"/>
        </w:rPr>
        <w:t xml:space="preserve"> the member-directed plan.</w:t>
      </w:r>
    </w:p>
    <w:p w14:paraId="7D7D2F38" w14:textId="77777777" w:rsidR="00AF5D8D" w:rsidRPr="003B37F4" w:rsidRDefault="00AF5D8D" w:rsidP="00AF5D8D">
      <w:pPr>
        <w:jc w:val="both"/>
        <w:rPr>
          <w:rFonts w:cs="Arial"/>
          <w:szCs w:val="20"/>
        </w:rPr>
      </w:pPr>
      <w:r w:rsidRPr="003B37F4">
        <w:rPr>
          <w:rFonts w:cs="Arial"/>
          <w:szCs w:val="20"/>
        </w:rPr>
        <w:tab/>
        <w:t xml:space="preserve"> </w:t>
      </w:r>
    </w:p>
    <w:p w14:paraId="46896D5B" w14:textId="77777777" w:rsidR="00AF5D8D" w:rsidRPr="003B37F4" w:rsidRDefault="00AF5D8D" w:rsidP="00AF5D8D">
      <w:pPr>
        <w:ind w:left="720"/>
        <w:jc w:val="both"/>
        <w:rPr>
          <w:rFonts w:cs="Arial"/>
          <w:szCs w:val="20"/>
        </w:rPr>
      </w:pPr>
      <w:r w:rsidRPr="003B37F4">
        <w:rPr>
          <w:rFonts w:cs="Arial"/>
          <w:szCs w:val="20"/>
        </w:rPr>
        <w:t>OPERS provides retirement, disability, survivor and death benefits and annual cost-of-living adjustments to members of the traditional and combined plans.  Members of the member-directed plan do not qualify for ancillary benefits.  Authority to establish and amend benefits is provided by Chapter 145 of the Ohio Revised Code.  OPERS issues a stand-alone financial report that may be obtained by writing to OPERS, 277 East Town Street, Columbus, OH 43215-4642 or by calling (614) 222-5601 or (800) 222-7377.</w:t>
      </w:r>
    </w:p>
    <w:p w14:paraId="21351932" w14:textId="77777777" w:rsidR="007F6003" w:rsidRPr="003B37F4" w:rsidRDefault="007F6003">
      <w:pPr>
        <w:widowControl/>
        <w:autoSpaceDE/>
        <w:autoSpaceDN/>
        <w:adjustRightInd/>
        <w:spacing w:after="200"/>
        <w:rPr>
          <w:rFonts w:asciiTheme="majorHAnsi" w:eastAsiaTheme="majorEastAsia" w:hAnsiTheme="majorHAnsi" w:cstheme="majorBidi"/>
          <w:b/>
          <w:bCs/>
          <w:color w:val="4F81BD" w:themeColor="accent1"/>
        </w:rPr>
      </w:pPr>
      <w:r w:rsidRPr="003B37F4">
        <w:br w:type="page"/>
      </w:r>
    </w:p>
    <w:p w14:paraId="0D14648A" w14:textId="77777777" w:rsidR="007916FF" w:rsidRPr="003B37F4" w:rsidRDefault="00FA0A5B" w:rsidP="00FA0A5B">
      <w:pPr>
        <w:pStyle w:val="Heading3"/>
        <w:rPr>
          <w:rFonts w:ascii="Arial" w:hAnsi="Arial" w:cs="Arial"/>
        </w:rPr>
      </w:pPr>
      <w:r w:rsidRPr="003B37F4">
        <w:lastRenderedPageBreak/>
        <w:t xml:space="preserve">                     </w:t>
      </w:r>
      <w:bookmarkEnd w:id="97"/>
      <w:bookmarkEnd w:id="98"/>
    </w:p>
    <w:p w14:paraId="6261BFA6" w14:textId="77777777" w:rsidR="00FA4DE1" w:rsidRPr="003B37F4" w:rsidRDefault="00FA4DE1" w:rsidP="00FA4DE1">
      <w:pPr>
        <w:jc w:val="both"/>
        <w:rPr>
          <w:rFonts w:cs="Arial"/>
          <w:szCs w:val="20"/>
        </w:rPr>
      </w:pPr>
    </w:p>
    <w:p w14:paraId="5B022203" w14:textId="77777777" w:rsidR="004868F0" w:rsidRPr="003B37F4" w:rsidRDefault="00FA4DE1" w:rsidP="004868F0">
      <w:pPr>
        <w:ind w:left="720"/>
        <w:jc w:val="both"/>
        <w:rPr>
          <w:szCs w:val="20"/>
        </w:rPr>
      </w:pPr>
      <w:r w:rsidRPr="003B37F4">
        <w:rPr>
          <w:szCs w:val="20"/>
        </w:rPr>
        <w:t xml:space="preserve">Funding Policy – </w:t>
      </w:r>
      <w:r w:rsidR="004868F0" w:rsidRPr="003B37F4">
        <w:rPr>
          <w:szCs w:val="20"/>
        </w:rPr>
        <w:t>The Ohio Revised Code provides statutory authority for member and employer contributions and currently limits the employer contribution to a rate not to exceed 14 percent of covered payroll for state and local employer units and 18.1 percent of covered payroll for law and public safety employer units.  Member contribution rates, as set in the Ohio Revised Code, are not to exceed 10 percent.  For the year ended Decemb</w:t>
      </w:r>
      <w:r w:rsidR="00F614EF" w:rsidRPr="003B37F4">
        <w:rPr>
          <w:szCs w:val="20"/>
        </w:rPr>
        <w:t>er 31, 2013</w:t>
      </w:r>
      <w:r w:rsidR="004868F0" w:rsidRPr="003B37F4">
        <w:rPr>
          <w:szCs w:val="20"/>
        </w:rPr>
        <w:t>, members in state and local classifications contributed 10 percent of covered payroll while public safety and law enfo</w:t>
      </w:r>
      <w:r w:rsidR="00547992" w:rsidRPr="003B37F4">
        <w:rPr>
          <w:szCs w:val="20"/>
        </w:rPr>
        <w:t>rcement membe</w:t>
      </w:r>
      <w:r w:rsidR="0041255E" w:rsidRPr="003B37F4">
        <w:rPr>
          <w:szCs w:val="20"/>
        </w:rPr>
        <w:t>rs contributed 12 percent and 12.6</w:t>
      </w:r>
      <w:r w:rsidR="004868F0" w:rsidRPr="003B37F4">
        <w:rPr>
          <w:szCs w:val="20"/>
        </w:rPr>
        <w:t xml:space="preserve"> percent, respectively.  While members in the state and local divisions may participate in all three plans, law enforcement and public safety divisions exist only within the Tra</w:t>
      </w:r>
      <w:r w:rsidR="00E34C6B" w:rsidRPr="003B37F4">
        <w:rPr>
          <w:szCs w:val="20"/>
        </w:rPr>
        <w:t>ditional Pension Plan.  For 2013</w:t>
      </w:r>
      <w:r w:rsidR="004868F0" w:rsidRPr="003B37F4">
        <w:rPr>
          <w:szCs w:val="20"/>
        </w:rPr>
        <w:t>, member and employer contribution rates were consistent across all three plans.</w:t>
      </w:r>
      <w:r w:rsidR="0041255E" w:rsidRPr="003B37F4">
        <w:rPr>
          <w:szCs w:val="20"/>
        </w:rPr>
        <w:t xml:space="preserve"> Effective January 1, 2014, the member contribution rates for law enforcement members increased to 13.0 percent.</w:t>
      </w:r>
    </w:p>
    <w:p w14:paraId="7BDFBDB4" w14:textId="77777777" w:rsidR="00FA4DE1" w:rsidRPr="003B37F4" w:rsidRDefault="00FA4DE1" w:rsidP="004868F0">
      <w:pPr>
        <w:ind w:left="720"/>
        <w:jc w:val="both"/>
        <w:rPr>
          <w:rFonts w:cs="Arial"/>
          <w:szCs w:val="20"/>
        </w:rPr>
      </w:pPr>
    </w:p>
    <w:p w14:paraId="517DA2D1" w14:textId="77777777" w:rsidR="006804E7" w:rsidRPr="003B37F4" w:rsidRDefault="00FA4DE1" w:rsidP="006804E7">
      <w:pPr>
        <w:ind w:left="720"/>
        <w:jc w:val="both"/>
        <w:rPr>
          <w:rFonts w:cs="Arial"/>
          <w:szCs w:val="20"/>
        </w:rPr>
      </w:pPr>
      <w:r w:rsidRPr="003B37F4">
        <w:rPr>
          <w:rFonts w:cs="Arial"/>
          <w:szCs w:val="20"/>
        </w:rPr>
        <w:t xml:space="preserve">The Health District’s </w:t>
      </w:r>
      <w:r w:rsidR="006804E7" w:rsidRPr="003B37F4">
        <w:rPr>
          <w:rFonts w:cs="Arial"/>
          <w:szCs w:val="20"/>
        </w:rPr>
        <w:t>contribution rate was 14.0 percent, except for those plan members in law enforcement or public safety, for whom t</w:t>
      </w:r>
      <w:r w:rsidR="00E60C90" w:rsidRPr="003B37F4">
        <w:rPr>
          <w:rFonts w:cs="Arial"/>
          <w:szCs w:val="20"/>
        </w:rPr>
        <w:t xml:space="preserve">he </w:t>
      </w:r>
      <w:r w:rsidR="00547992" w:rsidRPr="003B37F4">
        <w:rPr>
          <w:rFonts w:cs="Arial"/>
          <w:szCs w:val="20"/>
        </w:rPr>
        <w:t>contribution was 18.1</w:t>
      </w:r>
      <w:r w:rsidR="006804E7" w:rsidRPr="003B37F4">
        <w:rPr>
          <w:rFonts w:cs="Arial"/>
          <w:szCs w:val="20"/>
        </w:rPr>
        <w:t xml:space="preserve"> percent of covered payroll.  The portion of employer contributions used to fund pension benefits is net of post-employment health care benefits.  The portion of employer contribution allocated to health care for members</w:t>
      </w:r>
      <w:r w:rsidR="00547992" w:rsidRPr="003B37F4">
        <w:rPr>
          <w:rFonts w:cs="Arial"/>
          <w:szCs w:val="20"/>
        </w:rPr>
        <w:t xml:space="preserve"> in all three plans was 1 percent for 2013.  </w:t>
      </w:r>
      <w:r w:rsidR="006804E7" w:rsidRPr="003B37F4">
        <w:rPr>
          <w:rFonts w:cs="Arial"/>
          <w:szCs w:val="20"/>
        </w:rPr>
        <w:t xml:space="preserve">Employer contribution rates are actuarially determined.  </w:t>
      </w:r>
    </w:p>
    <w:p w14:paraId="5BDC12A7" w14:textId="77777777" w:rsidR="00064AAA" w:rsidRPr="003B37F4" w:rsidRDefault="00064AAA" w:rsidP="00064AAA">
      <w:pPr>
        <w:ind w:left="720"/>
        <w:jc w:val="both"/>
        <w:rPr>
          <w:rFonts w:cs="Arial"/>
          <w:szCs w:val="20"/>
        </w:rPr>
      </w:pPr>
    </w:p>
    <w:p w14:paraId="24C46BA2" w14:textId="77777777" w:rsidR="00FA4DE1" w:rsidRPr="003B37F4" w:rsidRDefault="00FA4DE1" w:rsidP="00FA4DE1">
      <w:pPr>
        <w:ind w:left="720"/>
        <w:jc w:val="both"/>
        <w:rPr>
          <w:rFonts w:cs="Arial"/>
          <w:szCs w:val="20"/>
        </w:rPr>
      </w:pPr>
      <w:r w:rsidRPr="003B37F4">
        <w:rPr>
          <w:rFonts w:cs="Arial"/>
          <w:szCs w:val="20"/>
        </w:rPr>
        <w:t xml:space="preserve">The Health District’s required contributions for pension obligations to the traditional and combined plans for the years ended December 31, </w:t>
      </w:r>
      <w:r w:rsidR="00A16B5B" w:rsidRPr="003B37F4">
        <w:rPr>
          <w:rFonts w:cs="Arial"/>
          <w:szCs w:val="20"/>
        </w:rPr>
        <w:t>2019</w:t>
      </w:r>
      <w:r w:rsidR="00550C60" w:rsidRPr="003B37F4">
        <w:rPr>
          <w:rFonts w:cs="Arial"/>
          <w:szCs w:val="20"/>
        </w:rPr>
        <w:t xml:space="preserve">, </w:t>
      </w:r>
      <w:r w:rsidR="00A16B5B" w:rsidRPr="003B37F4">
        <w:rPr>
          <w:rFonts w:cs="Arial"/>
          <w:szCs w:val="20"/>
        </w:rPr>
        <w:t>2018</w:t>
      </w:r>
      <w:r w:rsidR="00C90A24" w:rsidRPr="003B37F4">
        <w:rPr>
          <w:rFonts w:cs="Arial"/>
          <w:szCs w:val="20"/>
        </w:rPr>
        <w:t xml:space="preserve">, </w:t>
      </w:r>
      <w:r w:rsidR="00A16B5B" w:rsidRPr="003B37F4">
        <w:rPr>
          <w:rFonts w:cs="Arial"/>
          <w:szCs w:val="20"/>
        </w:rPr>
        <w:t>2017</w:t>
      </w:r>
      <w:r w:rsidR="00055E95" w:rsidRPr="003B37F4">
        <w:rPr>
          <w:rFonts w:cs="Arial"/>
          <w:szCs w:val="20"/>
        </w:rPr>
        <w:t xml:space="preserve">, </w:t>
      </w:r>
      <w:r w:rsidRPr="003B37F4">
        <w:rPr>
          <w:rFonts w:cs="Arial"/>
          <w:szCs w:val="20"/>
        </w:rPr>
        <w:t>were</w:t>
      </w:r>
      <w:r w:rsidR="00D80118" w:rsidRPr="003B37F4">
        <w:rPr>
          <w:rFonts w:cs="Arial"/>
          <w:szCs w:val="20"/>
        </w:rPr>
        <w:t xml:space="preserve"> </w:t>
      </w:r>
      <w:r w:rsidR="00A16B5B" w:rsidRPr="003B37F4">
        <w:rPr>
          <w:rFonts w:cs="Arial"/>
          <w:szCs w:val="20"/>
        </w:rPr>
        <w:t xml:space="preserve">$84,172, </w:t>
      </w:r>
      <w:r w:rsidR="00803B47" w:rsidRPr="003B37F4">
        <w:rPr>
          <w:rFonts w:cs="Arial"/>
          <w:szCs w:val="20"/>
        </w:rPr>
        <w:t xml:space="preserve">$79,538, </w:t>
      </w:r>
      <w:r w:rsidR="00A16B5B" w:rsidRPr="003B37F4">
        <w:rPr>
          <w:rFonts w:cs="Arial"/>
          <w:szCs w:val="20"/>
        </w:rPr>
        <w:t xml:space="preserve">and </w:t>
      </w:r>
      <w:r w:rsidR="00D80118" w:rsidRPr="003B37F4">
        <w:rPr>
          <w:rFonts w:cs="Arial"/>
          <w:szCs w:val="20"/>
        </w:rPr>
        <w:t>$77,081</w:t>
      </w:r>
      <w:r w:rsidR="00550C60" w:rsidRPr="003B37F4">
        <w:rPr>
          <w:rFonts w:cs="Arial"/>
          <w:szCs w:val="20"/>
        </w:rPr>
        <w:t>,</w:t>
      </w:r>
      <w:r w:rsidR="00803B47" w:rsidRPr="003B37F4">
        <w:rPr>
          <w:rFonts w:cs="Arial"/>
          <w:szCs w:val="20"/>
        </w:rPr>
        <w:t xml:space="preserve"> </w:t>
      </w:r>
      <w:r w:rsidRPr="003B37F4">
        <w:rPr>
          <w:rFonts w:cs="Arial"/>
          <w:szCs w:val="20"/>
        </w:rPr>
        <w:t xml:space="preserve">respectively.  The full amount has been contributed for </w:t>
      </w:r>
      <w:r w:rsidR="00A16B5B" w:rsidRPr="003B37F4">
        <w:rPr>
          <w:rFonts w:cs="Arial"/>
          <w:szCs w:val="20"/>
        </w:rPr>
        <w:t>2019</w:t>
      </w:r>
      <w:r w:rsidR="00550C60" w:rsidRPr="003B37F4">
        <w:rPr>
          <w:rFonts w:cs="Arial"/>
          <w:szCs w:val="20"/>
        </w:rPr>
        <w:t xml:space="preserve">, </w:t>
      </w:r>
      <w:r w:rsidR="00A16B5B" w:rsidRPr="003B37F4">
        <w:rPr>
          <w:rFonts w:cs="Arial"/>
          <w:szCs w:val="20"/>
        </w:rPr>
        <w:t>2018</w:t>
      </w:r>
      <w:r w:rsidR="00C90A24" w:rsidRPr="003B37F4">
        <w:rPr>
          <w:rFonts w:cs="Arial"/>
          <w:szCs w:val="20"/>
        </w:rPr>
        <w:t xml:space="preserve">, </w:t>
      </w:r>
      <w:r w:rsidR="00F95268" w:rsidRPr="003B37F4">
        <w:rPr>
          <w:rFonts w:cs="Arial"/>
          <w:szCs w:val="20"/>
        </w:rPr>
        <w:t>and 2</w:t>
      </w:r>
      <w:r w:rsidR="00A16B5B" w:rsidRPr="003B37F4">
        <w:rPr>
          <w:rFonts w:cs="Arial"/>
          <w:szCs w:val="20"/>
        </w:rPr>
        <w:t>017</w:t>
      </w:r>
      <w:r w:rsidR="00550C60" w:rsidRPr="003B37F4">
        <w:rPr>
          <w:rFonts w:cs="Arial"/>
          <w:szCs w:val="20"/>
        </w:rPr>
        <w:t>.</w:t>
      </w:r>
    </w:p>
    <w:p w14:paraId="1E61ECF6" w14:textId="77777777" w:rsidR="00A1591A" w:rsidRPr="003B37F4" w:rsidRDefault="00A1591A" w:rsidP="007916FF">
      <w:pPr>
        <w:tabs>
          <w:tab w:val="left" w:pos="547"/>
          <w:tab w:val="left" w:pos="907"/>
          <w:tab w:val="left" w:pos="1440"/>
          <w:tab w:val="left" w:pos="1987"/>
          <w:tab w:val="left" w:pos="2347"/>
        </w:tabs>
        <w:ind w:left="936"/>
        <w:jc w:val="both"/>
        <w:rPr>
          <w:szCs w:val="20"/>
        </w:rPr>
      </w:pPr>
    </w:p>
    <w:p w14:paraId="2DCC5B4E" w14:textId="77777777" w:rsidR="007916FF" w:rsidRPr="003B37F4" w:rsidRDefault="007916FF" w:rsidP="00CB12C8">
      <w:pPr>
        <w:pStyle w:val="Heading2"/>
        <w:rPr>
          <w:u w:val="single"/>
        </w:rPr>
      </w:pPr>
      <w:r w:rsidRPr="003B37F4">
        <w:t xml:space="preserve">  </w:t>
      </w:r>
      <w:bookmarkStart w:id="101" w:name="_Toc284945557"/>
      <w:bookmarkStart w:id="102" w:name="_Toc315938452"/>
      <w:r w:rsidRPr="003B37F4">
        <w:t>7.</w:t>
      </w:r>
      <w:r w:rsidRPr="003B37F4">
        <w:tab/>
      </w:r>
      <w:r w:rsidR="00242D18" w:rsidRPr="003B37F4">
        <w:rPr>
          <w:caps/>
        </w:rPr>
        <w:t>Post Employment Benefits</w:t>
      </w:r>
      <w:bookmarkEnd w:id="101"/>
      <w:bookmarkEnd w:id="102"/>
    </w:p>
    <w:p w14:paraId="13D7932F" w14:textId="77777777" w:rsidR="007916FF" w:rsidRPr="003B37F4" w:rsidRDefault="007916FF" w:rsidP="00CB12C8">
      <w:pPr>
        <w:pStyle w:val="Heading3"/>
      </w:pPr>
      <w:r w:rsidRPr="003B37F4">
        <w:tab/>
      </w:r>
      <w:bookmarkStart w:id="103" w:name="_Toc284945558"/>
      <w:bookmarkStart w:id="104" w:name="_Toc315938453"/>
      <w:r w:rsidRPr="003B37F4">
        <w:t>A.</w:t>
      </w:r>
      <w:r w:rsidRPr="003B37F4">
        <w:tab/>
        <w:t>Ohio Public Employees Retirement System</w:t>
      </w:r>
      <w:bookmarkEnd w:id="103"/>
      <w:bookmarkEnd w:id="104"/>
    </w:p>
    <w:p w14:paraId="50362F5D" w14:textId="77777777" w:rsidR="007916FF" w:rsidRPr="003B37F4" w:rsidRDefault="007916FF" w:rsidP="007916FF">
      <w:pPr>
        <w:widowControl/>
        <w:ind w:left="900"/>
        <w:jc w:val="both"/>
        <w:rPr>
          <w:szCs w:val="20"/>
        </w:rPr>
      </w:pPr>
    </w:p>
    <w:p w14:paraId="49C3F2F4" w14:textId="77777777" w:rsidR="00D02027" w:rsidRPr="003B37F4" w:rsidRDefault="007916FF" w:rsidP="00D02027">
      <w:pPr>
        <w:widowControl/>
        <w:ind w:left="900"/>
        <w:jc w:val="both"/>
        <w:rPr>
          <w:szCs w:val="20"/>
        </w:rPr>
      </w:pPr>
      <w:r w:rsidRPr="003B37F4">
        <w:rPr>
          <w:szCs w:val="20"/>
        </w:rPr>
        <w:t xml:space="preserve">Ohio Public Employees Retirement System (OPERS) administers three separate pension plans: </w:t>
      </w:r>
      <w:bookmarkStart w:id="105" w:name="_Toc284945559"/>
      <w:r w:rsidR="00D02027" w:rsidRPr="003B37F4">
        <w:rPr>
          <w:szCs w:val="20"/>
        </w:rPr>
        <w:t>The Traditional Pension Plan—a cost sharing, multiple-employer defined benefit pension plan; the Member-Directed Plan—a defined contribution plan; and the Combined Plan—a cost sharing, multiple employer defined benefit pension plan that has elements of both a defined benefit and defined contribution plan.</w:t>
      </w:r>
    </w:p>
    <w:p w14:paraId="7D4C5141" w14:textId="77777777" w:rsidR="00D02027" w:rsidRPr="003B37F4" w:rsidRDefault="00D02027" w:rsidP="00D02027">
      <w:pPr>
        <w:widowControl/>
        <w:ind w:left="900"/>
        <w:jc w:val="both"/>
        <w:rPr>
          <w:szCs w:val="20"/>
        </w:rPr>
      </w:pPr>
    </w:p>
    <w:p w14:paraId="73D629EA" w14:textId="77777777" w:rsidR="00D02027" w:rsidRPr="003B37F4" w:rsidRDefault="00D02027" w:rsidP="00D02027">
      <w:pPr>
        <w:widowControl/>
        <w:ind w:left="900"/>
        <w:jc w:val="both"/>
        <w:rPr>
          <w:szCs w:val="20"/>
        </w:rPr>
      </w:pPr>
      <w:r w:rsidRPr="003B37F4">
        <w:rPr>
          <w:szCs w:val="20"/>
        </w:rPr>
        <w:t xml:space="preserve">OPERS maintains a cost-sharing multiple-employer defined benefit post-employment health care plan for qualifying members of both the Traditional Pension and the Combined Plans.  Members of the Member-Directed Plan do not qualify for ancillary benefits, including post-employment health care coverage.  The plan includes a medical plan, prescription drug program and Medicare Part B premium reimbursement. </w:t>
      </w:r>
    </w:p>
    <w:p w14:paraId="7A12E739" w14:textId="77777777" w:rsidR="00D02027" w:rsidRPr="003B37F4" w:rsidRDefault="00D02027" w:rsidP="00D02027">
      <w:pPr>
        <w:widowControl/>
        <w:ind w:left="900"/>
        <w:jc w:val="both"/>
        <w:rPr>
          <w:szCs w:val="20"/>
        </w:rPr>
      </w:pPr>
    </w:p>
    <w:p w14:paraId="423D613B" w14:textId="77777777" w:rsidR="00D02027" w:rsidRPr="003B37F4" w:rsidRDefault="00D02027" w:rsidP="00D02027">
      <w:pPr>
        <w:widowControl/>
        <w:ind w:left="900"/>
        <w:jc w:val="both"/>
        <w:rPr>
          <w:szCs w:val="20"/>
        </w:rPr>
      </w:pPr>
      <w:r w:rsidRPr="003B37F4">
        <w:rPr>
          <w:szCs w:val="20"/>
        </w:rPr>
        <w:t>In order to qualify for post-employment health care coverage, age-and-service retirees under the Traditional Pension and Combined Plans must have 10 or more years of qualifying Ohio service credit.  Health care coverage for disability benefit recipients and qualified survivor benefit recipients is available. The Ohio Revised Code permits, but does not mandate, OPERS to provide health care benefits to its eligible members and beneficiaries.  Authority to establish and amend benefits is provided in Chapter 145 of the Ohio Revised Code.</w:t>
      </w:r>
    </w:p>
    <w:p w14:paraId="47C7E116" w14:textId="77777777" w:rsidR="00D02027" w:rsidRPr="003B37F4" w:rsidRDefault="00D02027" w:rsidP="00D02027">
      <w:pPr>
        <w:widowControl/>
        <w:ind w:left="900"/>
        <w:jc w:val="both"/>
        <w:rPr>
          <w:szCs w:val="20"/>
        </w:rPr>
      </w:pPr>
    </w:p>
    <w:p w14:paraId="5A12DBDD" w14:textId="77777777" w:rsidR="00D02027" w:rsidRPr="003B37F4" w:rsidRDefault="00D02027" w:rsidP="00D02027">
      <w:pPr>
        <w:widowControl/>
        <w:ind w:left="900"/>
        <w:jc w:val="both"/>
        <w:rPr>
          <w:szCs w:val="20"/>
        </w:rPr>
      </w:pPr>
      <w:r w:rsidRPr="003B37F4">
        <w:rPr>
          <w:szCs w:val="20"/>
        </w:rPr>
        <w:t>Disclosures for the health care plan are presented separately in the OPERS financial report which may be obtained by writing to OPERS, 277 East Town Street, Columbus, Ohio 43215-4642, or by calling 614-222-5601 or 800-222-7377.</w:t>
      </w:r>
    </w:p>
    <w:p w14:paraId="20898315" w14:textId="77777777" w:rsidR="00D02027" w:rsidRPr="003B37F4" w:rsidRDefault="00D02027" w:rsidP="00D02027">
      <w:pPr>
        <w:widowControl/>
        <w:ind w:left="900"/>
        <w:jc w:val="both"/>
        <w:rPr>
          <w:szCs w:val="20"/>
        </w:rPr>
      </w:pPr>
    </w:p>
    <w:p w14:paraId="56766F48" w14:textId="77777777" w:rsidR="00D02027" w:rsidRPr="003B37F4" w:rsidRDefault="00D02027" w:rsidP="00D02027">
      <w:pPr>
        <w:widowControl/>
        <w:ind w:left="900"/>
        <w:jc w:val="both"/>
        <w:rPr>
          <w:szCs w:val="20"/>
        </w:rPr>
      </w:pPr>
      <w:r w:rsidRPr="003B37F4">
        <w:rPr>
          <w:szCs w:val="20"/>
        </w:rPr>
        <w:t xml:space="preserve">Funding Policy – The post-employment health care plan was established under, and is administrated in accordance with, Internal Revenue Code 401(h).  The Ohio Revised Code provides the statutory authority requiring public employers to fund post-retirement health care </w:t>
      </w:r>
      <w:r w:rsidRPr="003B37F4">
        <w:rPr>
          <w:szCs w:val="20"/>
        </w:rPr>
        <w:lastRenderedPageBreak/>
        <w:t>through contributions to OPERS.  A portion of each employer’s contribution to OPERS is set aside for the funding of post-retirement health care.</w:t>
      </w:r>
    </w:p>
    <w:p w14:paraId="1897EEE8" w14:textId="77777777" w:rsidR="00D02027" w:rsidRPr="003B37F4" w:rsidRDefault="00D02027" w:rsidP="00D02027">
      <w:pPr>
        <w:widowControl/>
        <w:ind w:left="900"/>
        <w:jc w:val="both"/>
        <w:rPr>
          <w:szCs w:val="20"/>
        </w:rPr>
      </w:pPr>
    </w:p>
    <w:p w14:paraId="17B4F447" w14:textId="77777777" w:rsidR="00D02027" w:rsidRPr="003B37F4" w:rsidRDefault="00D02027" w:rsidP="00D02027">
      <w:pPr>
        <w:widowControl/>
        <w:ind w:left="900"/>
        <w:jc w:val="both"/>
        <w:rPr>
          <w:szCs w:val="20"/>
        </w:rPr>
      </w:pPr>
      <w:r w:rsidRPr="003B37F4">
        <w:rPr>
          <w:szCs w:val="20"/>
        </w:rPr>
        <w:t>Employer contribution rates are expressed as a percentage of the covered pay</w:t>
      </w:r>
      <w:r w:rsidR="00DA3496" w:rsidRPr="003B37F4">
        <w:rPr>
          <w:szCs w:val="20"/>
        </w:rPr>
        <w:t>roll of active members.  In 2013</w:t>
      </w:r>
      <w:r w:rsidRPr="003B37F4">
        <w:rPr>
          <w:szCs w:val="20"/>
        </w:rPr>
        <w:t>, state and local employers contributed at a rate of 14.0 percent of covered payroll, and public safety and law enforcemen</w:t>
      </w:r>
      <w:r w:rsidR="00DA3496" w:rsidRPr="003B37F4">
        <w:rPr>
          <w:szCs w:val="20"/>
        </w:rPr>
        <w:t>t employers contributed at 18.1</w:t>
      </w:r>
      <w:r w:rsidRPr="003B37F4">
        <w:rPr>
          <w:szCs w:val="20"/>
        </w:rPr>
        <w:t xml:space="preserve"> percent. The Ohio Revised Code currently limits the employer contribution to a rate not to exceed 14 percent of covered payroll for state and local employer units and 18.1 percent of covered payroll for law and public safety employer units.</w:t>
      </w:r>
    </w:p>
    <w:p w14:paraId="140C11E6" w14:textId="77777777" w:rsidR="00D02027" w:rsidRPr="003B37F4" w:rsidRDefault="00D02027" w:rsidP="00D02027">
      <w:pPr>
        <w:widowControl/>
        <w:ind w:left="900"/>
        <w:jc w:val="both"/>
        <w:rPr>
          <w:szCs w:val="20"/>
        </w:rPr>
      </w:pPr>
    </w:p>
    <w:p w14:paraId="2E1770AF" w14:textId="77777777" w:rsidR="00AB522C" w:rsidRPr="003B37F4" w:rsidRDefault="00D02027" w:rsidP="00AB522C">
      <w:pPr>
        <w:widowControl/>
        <w:ind w:left="900"/>
        <w:jc w:val="both"/>
        <w:rPr>
          <w:szCs w:val="20"/>
        </w:rPr>
      </w:pPr>
      <w:r w:rsidRPr="003B37F4">
        <w:rPr>
          <w:szCs w:val="20"/>
        </w:rPr>
        <w:t>Each year, the OPERS Retirement Board determines the portion of the employer contribution rate that will be set aside for funding of post-employment health care benefits.  The portion of employer contributions allocated to health care for members in</w:t>
      </w:r>
      <w:r w:rsidR="0047710D" w:rsidRPr="003B37F4">
        <w:rPr>
          <w:szCs w:val="20"/>
        </w:rPr>
        <w:t xml:space="preserve"> the Traditional Plan</w:t>
      </w:r>
      <w:r w:rsidR="00DA3496" w:rsidRPr="003B37F4">
        <w:rPr>
          <w:szCs w:val="20"/>
        </w:rPr>
        <w:t xml:space="preserve"> was 1% in 2013.</w:t>
      </w:r>
      <w:r w:rsidRPr="003B37F4">
        <w:rPr>
          <w:szCs w:val="20"/>
        </w:rPr>
        <w:t xml:space="preserve">  </w:t>
      </w:r>
      <w:r w:rsidR="00AB522C" w:rsidRPr="003B37F4">
        <w:rPr>
          <w:szCs w:val="20"/>
        </w:rPr>
        <w:t>The portion of employer contributions allocated to health care for members in the Combined Plan was 1% in 2013.  Effective January 1, 2014, the portion allocated to healthcare was raised to 2 percent for both plans, as recommended by the OPERS actuary.</w:t>
      </w:r>
    </w:p>
    <w:p w14:paraId="544AB207" w14:textId="77777777" w:rsidR="00D02027" w:rsidRPr="003B37F4" w:rsidRDefault="00D02027" w:rsidP="00D02027">
      <w:pPr>
        <w:widowControl/>
        <w:ind w:left="900"/>
        <w:jc w:val="both"/>
        <w:rPr>
          <w:szCs w:val="20"/>
        </w:rPr>
      </w:pPr>
    </w:p>
    <w:p w14:paraId="509CA92F" w14:textId="77777777" w:rsidR="00D02027" w:rsidRPr="003B37F4" w:rsidRDefault="00D02027" w:rsidP="00D02027">
      <w:pPr>
        <w:widowControl/>
        <w:ind w:left="900"/>
        <w:jc w:val="both"/>
        <w:rPr>
          <w:szCs w:val="20"/>
        </w:rPr>
      </w:pPr>
    </w:p>
    <w:p w14:paraId="25134678" w14:textId="77777777" w:rsidR="00D02027" w:rsidRPr="003B37F4" w:rsidRDefault="00D02027" w:rsidP="00D02027">
      <w:pPr>
        <w:widowControl/>
        <w:ind w:left="900"/>
        <w:jc w:val="both"/>
        <w:rPr>
          <w:szCs w:val="20"/>
        </w:rPr>
      </w:pPr>
      <w:r w:rsidRPr="003B37F4">
        <w:rPr>
          <w:szCs w:val="20"/>
        </w:rPr>
        <w:t>The OPERS Retirement Board is also authorized to establish rules for the payment of a portion of the health care benefits provided, by the retiree or their surviving beneficiaries.  Payment amounts vary depending on the number of covered dependents and the coverage selected.  Active members do not make contributions to the post-employment health care plan.</w:t>
      </w:r>
    </w:p>
    <w:p w14:paraId="6F832DA0" w14:textId="77777777" w:rsidR="00D02027" w:rsidRPr="003B37F4" w:rsidRDefault="00D02027" w:rsidP="00D02027">
      <w:pPr>
        <w:widowControl/>
        <w:ind w:left="900"/>
        <w:jc w:val="both"/>
        <w:rPr>
          <w:szCs w:val="20"/>
        </w:rPr>
      </w:pPr>
    </w:p>
    <w:p w14:paraId="167A50A2" w14:textId="77777777" w:rsidR="00D02027" w:rsidRPr="003B37F4" w:rsidRDefault="00D02027" w:rsidP="00D02027">
      <w:pPr>
        <w:widowControl/>
        <w:ind w:left="900"/>
        <w:jc w:val="both"/>
        <w:rPr>
          <w:szCs w:val="20"/>
        </w:rPr>
      </w:pPr>
      <w:r w:rsidRPr="003B37F4">
        <w:rPr>
          <w:szCs w:val="20"/>
        </w:rPr>
        <w:t>The Health Care Preservation Plan (HCPP) adopted by the OPERS Retirement Board on September 9, 2004, was effective January 1, 2007.  Member and employer contribution rates increased on January 1 of each year from 2006 to 2008.  Rates for law and public safety employers increased over a six year period beginning on January 1, 2006, with a final rate increase on January 1, 2011.  These rate increases allowed additional funds to be allocated to the health care plan.</w:t>
      </w:r>
    </w:p>
    <w:p w14:paraId="6D7413EA" w14:textId="77777777" w:rsidR="00AB522C" w:rsidRPr="003B37F4" w:rsidRDefault="00AB522C" w:rsidP="00D02027">
      <w:pPr>
        <w:widowControl/>
        <w:ind w:left="900"/>
        <w:jc w:val="both"/>
        <w:rPr>
          <w:szCs w:val="20"/>
        </w:rPr>
      </w:pPr>
    </w:p>
    <w:p w14:paraId="192CF9A3" w14:textId="0EC72A77" w:rsidR="00AB522C" w:rsidRPr="003B37F4" w:rsidRDefault="00AB522C" w:rsidP="00D02027">
      <w:pPr>
        <w:widowControl/>
        <w:ind w:left="900"/>
        <w:jc w:val="both"/>
        <w:rPr>
          <w:szCs w:val="20"/>
        </w:rPr>
      </w:pPr>
      <w:r w:rsidRPr="003B37F4">
        <w:rPr>
          <w:szCs w:val="20"/>
        </w:rPr>
        <w:t xml:space="preserve">Changes to the healthcare plan were adopted by the OPERS Board of Trustees on September 19, 2012, with a transition plan commencing January 1, </w:t>
      </w:r>
      <w:r w:rsidR="00410EA9" w:rsidRPr="003B37F4">
        <w:rPr>
          <w:szCs w:val="20"/>
        </w:rPr>
        <w:t>2</w:t>
      </w:r>
      <w:r w:rsidRPr="003B37F4">
        <w:rPr>
          <w:szCs w:val="20"/>
        </w:rPr>
        <w:t>014. With the recent passage of pension legislation under SB 343 and the approved healthcare changes, OPERS expects to be able to consistently allocate 4 percent of the employer contributions towards the health care fund after the end of the transition period.</w:t>
      </w:r>
    </w:p>
    <w:p w14:paraId="6D719EFB" w14:textId="77777777" w:rsidR="00D02027" w:rsidRPr="003B37F4" w:rsidRDefault="00D02027" w:rsidP="00D02027">
      <w:pPr>
        <w:widowControl/>
        <w:ind w:left="900"/>
        <w:jc w:val="both"/>
        <w:rPr>
          <w:szCs w:val="20"/>
        </w:rPr>
      </w:pPr>
    </w:p>
    <w:p w14:paraId="3AECE8F0" w14:textId="77777777" w:rsidR="007916FF" w:rsidRPr="003B37F4" w:rsidRDefault="00101E3F" w:rsidP="00D02027">
      <w:pPr>
        <w:pStyle w:val="Heading2"/>
        <w:ind w:firstLine="540"/>
      </w:pPr>
      <w:bookmarkStart w:id="106" w:name="_Toc315938454"/>
      <w:r w:rsidRPr="003B37F4">
        <w:t>8</w:t>
      </w:r>
      <w:r w:rsidR="007916FF" w:rsidRPr="003B37F4">
        <w:t>.</w:t>
      </w:r>
      <w:r w:rsidR="007916FF" w:rsidRPr="003B37F4">
        <w:tab/>
        <w:t>CONTINGENT LIABILITIES</w:t>
      </w:r>
      <w:bookmarkEnd w:id="105"/>
      <w:bookmarkEnd w:id="106"/>
      <w:r w:rsidR="007916FF" w:rsidRPr="003B37F4">
        <w:t xml:space="preserve"> </w:t>
      </w:r>
    </w:p>
    <w:p w14:paraId="2DB10C71" w14:textId="77777777" w:rsidR="007916FF" w:rsidRPr="003B37F4" w:rsidRDefault="007916FF" w:rsidP="007916FF">
      <w:pPr>
        <w:pStyle w:val="PlainText"/>
        <w:tabs>
          <w:tab w:val="left" w:pos="547"/>
          <w:tab w:val="left" w:pos="907"/>
          <w:tab w:val="left" w:pos="1440"/>
          <w:tab w:val="left" w:pos="1987"/>
          <w:tab w:val="left" w:pos="2347"/>
        </w:tabs>
        <w:jc w:val="both"/>
        <w:rPr>
          <w:rFonts w:ascii="Arial" w:hAnsi="Arial" w:cs="Arial"/>
        </w:rPr>
      </w:pPr>
    </w:p>
    <w:p w14:paraId="7C3708F0" w14:textId="77777777" w:rsidR="007916FF" w:rsidRPr="003B37F4" w:rsidRDefault="007916FF" w:rsidP="007916FF">
      <w:pPr>
        <w:pStyle w:val="PlainText"/>
        <w:tabs>
          <w:tab w:val="left" w:pos="547"/>
          <w:tab w:val="left" w:pos="907"/>
          <w:tab w:val="left" w:pos="1440"/>
          <w:tab w:val="left" w:pos="1987"/>
          <w:tab w:val="left" w:pos="2347"/>
        </w:tabs>
        <w:ind w:left="540"/>
        <w:jc w:val="both"/>
        <w:rPr>
          <w:rFonts w:ascii="Arial" w:hAnsi="Arial" w:cs="Arial"/>
          <w:b/>
          <w:u w:val="single"/>
        </w:rPr>
      </w:pPr>
      <w:r w:rsidRPr="003B37F4">
        <w:rPr>
          <w:rFonts w:ascii="Arial" w:hAnsi="Arial" w:cs="Arial"/>
        </w:rPr>
        <w:t xml:space="preserve">Amounts grantor agencies pay to the Health District are subject to audit and adjustment by the grantor, principally the federal government.  Grantors may require refunding any disallowed costs.  Management cannot presently determine amounts grantors may disallow.  However, based on prior experience, management believes any refunds would be immaterial. </w:t>
      </w:r>
    </w:p>
    <w:p w14:paraId="665EE0BD" w14:textId="77777777" w:rsidR="007916FF" w:rsidRPr="003B37F4" w:rsidRDefault="007916FF" w:rsidP="00CB12C8">
      <w:pPr>
        <w:pStyle w:val="Heading2"/>
      </w:pPr>
      <w:r w:rsidRPr="003B37F4">
        <w:t xml:space="preserve"> </w:t>
      </w:r>
      <w:r w:rsidR="00D24584" w:rsidRPr="003B37F4">
        <w:tab/>
      </w:r>
      <w:bookmarkStart w:id="107" w:name="_Toc284945560"/>
      <w:bookmarkStart w:id="108" w:name="_Toc315938455"/>
      <w:r w:rsidR="00101E3F" w:rsidRPr="003B37F4">
        <w:t>9</w:t>
      </w:r>
      <w:r w:rsidRPr="003B37F4">
        <w:t>.</w:t>
      </w:r>
      <w:r w:rsidRPr="003B37F4">
        <w:tab/>
        <w:t>CONTRACTUAL OBLIGATIONS</w:t>
      </w:r>
      <w:bookmarkEnd w:id="107"/>
      <w:bookmarkEnd w:id="108"/>
    </w:p>
    <w:p w14:paraId="60E08EBF" w14:textId="77777777" w:rsidR="007916FF" w:rsidRPr="003B37F4" w:rsidRDefault="007916FF" w:rsidP="007916FF">
      <w:pPr>
        <w:pStyle w:val="PlainText"/>
        <w:tabs>
          <w:tab w:val="left" w:pos="547"/>
          <w:tab w:val="left" w:pos="907"/>
          <w:tab w:val="left" w:pos="1440"/>
          <w:tab w:val="left" w:pos="1987"/>
          <w:tab w:val="left" w:pos="2347"/>
        </w:tabs>
        <w:jc w:val="both"/>
        <w:rPr>
          <w:rFonts w:ascii="Arial" w:hAnsi="Arial" w:cs="Arial"/>
        </w:rPr>
      </w:pPr>
    </w:p>
    <w:p w14:paraId="21D1184B" w14:textId="4DB82FD5" w:rsidR="007916FF" w:rsidRPr="00FB41FB" w:rsidRDefault="007916FF" w:rsidP="007916FF">
      <w:pPr>
        <w:pStyle w:val="PlainText"/>
        <w:tabs>
          <w:tab w:val="left" w:pos="547"/>
          <w:tab w:val="left" w:pos="907"/>
          <w:tab w:val="left" w:pos="1440"/>
          <w:tab w:val="left" w:pos="1987"/>
          <w:tab w:val="left" w:pos="2347"/>
        </w:tabs>
        <w:ind w:left="540"/>
        <w:jc w:val="both"/>
        <w:rPr>
          <w:rFonts w:ascii="Arial" w:hAnsi="Arial" w:cs="Arial"/>
          <w:b/>
          <w:u w:val="single"/>
        </w:rPr>
      </w:pPr>
      <w:r w:rsidRPr="003B37F4">
        <w:rPr>
          <w:rFonts w:ascii="Arial" w:hAnsi="Arial" w:cs="Arial"/>
        </w:rPr>
        <w:t xml:space="preserve">The Health District is a party to a multi-year lease for rental </w:t>
      </w:r>
      <w:r w:rsidR="00BD0FB0" w:rsidRPr="003B37F4">
        <w:rPr>
          <w:rFonts w:ascii="Arial" w:hAnsi="Arial" w:cs="Arial"/>
        </w:rPr>
        <w:t>of office space.  This lease will be</w:t>
      </w:r>
      <w:r w:rsidRPr="003B37F4">
        <w:rPr>
          <w:rFonts w:ascii="Arial" w:hAnsi="Arial" w:cs="Arial"/>
        </w:rPr>
        <w:t xml:space="preserve"> </w:t>
      </w:r>
      <w:r w:rsidR="005A69F9" w:rsidRPr="003B37F4">
        <w:rPr>
          <w:rFonts w:ascii="Arial" w:hAnsi="Arial" w:cs="Arial"/>
        </w:rPr>
        <w:t>renewed</w:t>
      </w:r>
      <w:r w:rsidRPr="003B37F4">
        <w:rPr>
          <w:rFonts w:ascii="Arial" w:hAnsi="Arial" w:cs="Arial"/>
        </w:rPr>
        <w:t xml:space="preserve"> </w:t>
      </w:r>
      <w:r w:rsidR="00803B47" w:rsidRPr="003B37F4">
        <w:rPr>
          <w:rFonts w:ascii="Arial" w:hAnsi="Arial" w:cs="Arial"/>
        </w:rPr>
        <w:t>in January 20</w:t>
      </w:r>
      <w:r w:rsidR="00944398" w:rsidRPr="003B37F4">
        <w:rPr>
          <w:rFonts w:ascii="Arial" w:hAnsi="Arial" w:cs="Arial"/>
        </w:rPr>
        <w:t>23</w:t>
      </w:r>
      <w:r w:rsidRPr="003B37F4">
        <w:rPr>
          <w:rFonts w:ascii="Arial" w:hAnsi="Arial" w:cs="Arial"/>
        </w:rPr>
        <w:t xml:space="preserve">.  This lease requires the </w:t>
      </w:r>
      <w:proofErr w:type="gramStart"/>
      <w:r w:rsidRPr="003B37F4">
        <w:rPr>
          <w:rFonts w:ascii="Arial" w:hAnsi="Arial" w:cs="Arial"/>
        </w:rPr>
        <w:t>District</w:t>
      </w:r>
      <w:proofErr w:type="gramEnd"/>
      <w:r w:rsidRPr="003B37F4">
        <w:rPr>
          <w:rFonts w:ascii="Arial" w:hAnsi="Arial" w:cs="Arial"/>
        </w:rPr>
        <w:t xml:space="preserve"> to remit monthly.</w:t>
      </w:r>
      <w:r w:rsidRPr="00FB41FB">
        <w:rPr>
          <w:rFonts w:ascii="Arial" w:hAnsi="Arial" w:cs="Arial"/>
        </w:rPr>
        <w:t xml:space="preserve"> </w:t>
      </w:r>
      <w:r>
        <w:rPr>
          <w:rFonts w:ascii="Arial" w:hAnsi="Arial" w:cs="Arial"/>
        </w:rPr>
        <w:t xml:space="preserve"> </w:t>
      </w:r>
    </w:p>
    <w:p w14:paraId="6D9DC617" w14:textId="77777777" w:rsidR="007916FF" w:rsidRDefault="007916FF" w:rsidP="007916FF"/>
    <w:p w14:paraId="58C5602F" w14:textId="77777777" w:rsidR="00010D3D" w:rsidRDefault="00010D3D"/>
    <w:sectPr w:rsidR="00010D3D" w:rsidSect="00017A80">
      <w:headerReference w:type="defaul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4C4B9" w14:textId="77777777" w:rsidR="0056024F" w:rsidRDefault="0056024F" w:rsidP="0041497A">
      <w:r>
        <w:separator/>
      </w:r>
    </w:p>
  </w:endnote>
  <w:endnote w:type="continuationSeparator" w:id="0">
    <w:p w14:paraId="3EEEA58E" w14:textId="77777777" w:rsidR="0056024F" w:rsidRDefault="0056024F" w:rsidP="0041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56024F" w14:paraId="2405EC17" w14:textId="77777777">
      <w:tc>
        <w:tcPr>
          <w:tcW w:w="918" w:type="dxa"/>
        </w:tcPr>
        <w:p w14:paraId="024FD976" w14:textId="77777777" w:rsidR="0056024F" w:rsidRDefault="0056024F">
          <w:pPr>
            <w:pStyle w:val="Footer"/>
            <w:jc w:val="right"/>
            <w:rPr>
              <w:b/>
              <w:color w:val="4F81BD" w:themeColor="accent1"/>
              <w:sz w:val="32"/>
              <w:szCs w:val="32"/>
            </w:rPr>
          </w:pPr>
          <w:r>
            <w:fldChar w:fldCharType="begin"/>
          </w:r>
          <w:r>
            <w:instrText xml:space="preserve"> PAGE   \* MERGEFORMAT </w:instrText>
          </w:r>
          <w:r>
            <w:fldChar w:fldCharType="separate"/>
          </w:r>
          <w:r w:rsidRPr="00C113E8">
            <w:rPr>
              <w:b/>
              <w:noProof/>
              <w:color w:val="4F81BD" w:themeColor="accent1"/>
              <w:sz w:val="32"/>
              <w:szCs w:val="32"/>
            </w:rPr>
            <w:t>5</w:t>
          </w:r>
          <w:r>
            <w:rPr>
              <w:b/>
              <w:noProof/>
              <w:color w:val="4F81BD" w:themeColor="accent1"/>
              <w:sz w:val="32"/>
              <w:szCs w:val="32"/>
            </w:rPr>
            <w:fldChar w:fldCharType="end"/>
          </w:r>
        </w:p>
      </w:tc>
      <w:tc>
        <w:tcPr>
          <w:tcW w:w="7938" w:type="dxa"/>
        </w:tcPr>
        <w:p w14:paraId="4C5640EF" w14:textId="77777777" w:rsidR="0056024F" w:rsidRDefault="0056024F">
          <w:pPr>
            <w:pStyle w:val="Footer"/>
          </w:pPr>
        </w:p>
      </w:tc>
    </w:tr>
  </w:tbl>
  <w:p w14:paraId="123F01FB" w14:textId="77777777" w:rsidR="0056024F" w:rsidRDefault="00560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284F" w14:textId="77777777" w:rsidR="0056024F" w:rsidRDefault="0056024F" w:rsidP="00184E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118E36E5" w14:textId="77777777" w:rsidR="0056024F" w:rsidRDefault="00560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127C5" w14:textId="77777777" w:rsidR="0056024F" w:rsidRDefault="0056024F" w:rsidP="0041497A">
      <w:r>
        <w:separator/>
      </w:r>
    </w:p>
  </w:footnote>
  <w:footnote w:type="continuationSeparator" w:id="0">
    <w:p w14:paraId="44B87C01" w14:textId="77777777" w:rsidR="0056024F" w:rsidRDefault="0056024F" w:rsidP="00414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DFF1" w14:textId="77777777" w:rsidR="0056024F" w:rsidRDefault="0056024F" w:rsidP="0041497A">
    <w:pPr>
      <w:jc w:val="center"/>
      <w:rPr>
        <w:rFonts w:cs="Arial"/>
        <w:b/>
        <w:szCs w:val="20"/>
      </w:rPr>
    </w:pPr>
    <w:r w:rsidRPr="00FC7A1A">
      <w:rPr>
        <w:rFonts w:cs="Arial"/>
        <w:b/>
        <w:szCs w:val="20"/>
      </w:rPr>
      <w:t>CHAMPAIGN HEALTH DISTRICT</w:t>
    </w:r>
  </w:p>
  <w:p w14:paraId="4B0DEACE" w14:textId="77777777" w:rsidR="0056024F" w:rsidRPr="00FC7A1A" w:rsidRDefault="0056024F" w:rsidP="0041497A">
    <w:pPr>
      <w:jc w:val="center"/>
      <w:rPr>
        <w:rFonts w:cs="Arial"/>
        <w:b/>
        <w:szCs w:val="20"/>
      </w:rPr>
    </w:pPr>
    <w:r>
      <w:rPr>
        <w:rFonts w:cs="Arial"/>
        <w:b/>
        <w:szCs w:val="20"/>
      </w:rPr>
      <w:t>CHAMPAIGN COUNTY</w:t>
    </w:r>
  </w:p>
  <w:p w14:paraId="6FF5BAE6" w14:textId="77777777" w:rsidR="0056024F" w:rsidRPr="00FC7A1A" w:rsidRDefault="0056024F" w:rsidP="0041497A">
    <w:pPr>
      <w:jc w:val="center"/>
      <w:rPr>
        <w:rFonts w:cs="Arial"/>
        <w:b/>
        <w:szCs w:val="20"/>
      </w:rPr>
    </w:pPr>
  </w:p>
  <w:p w14:paraId="410FF022" w14:textId="77777777" w:rsidR="0056024F" w:rsidRPr="00694B83" w:rsidRDefault="0056024F" w:rsidP="0041497A">
    <w:pPr>
      <w:jc w:val="both"/>
      <w:rPr>
        <w:rFonts w:cs="Arial"/>
        <w:b/>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89136" w14:textId="77777777" w:rsidR="0056024F" w:rsidRDefault="0056024F" w:rsidP="0041497A">
    <w:pPr>
      <w:jc w:val="center"/>
      <w:rPr>
        <w:rFonts w:cs="Arial"/>
        <w:b/>
        <w:szCs w:val="20"/>
      </w:rPr>
    </w:pPr>
    <w:r w:rsidRPr="00FC7A1A">
      <w:rPr>
        <w:rFonts w:cs="Arial"/>
        <w:b/>
        <w:szCs w:val="20"/>
      </w:rPr>
      <w:t>CHAMPAIGN HEALTH DISTRICT</w:t>
    </w:r>
  </w:p>
  <w:p w14:paraId="774773BE" w14:textId="77777777" w:rsidR="0056024F" w:rsidRPr="00FC7A1A" w:rsidRDefault="0056024F" w:rsidP="0041497A">
    <w:pPr>
      <w:jc w:val="center"/>
      <w:rPr>
        <w:rFonts w:cs="Arial"/>
        <w:b/>
        <w:szCs w:val="20"/>
      </w:rPr>
    </w:pPr>
    <w:r>
      <w:rPr>
        <w:rFonts w:cs="Arial"/>
        <w:b/>
        <w:szCs w:val="20"/>
      </w:rPr>
      <w:t>CHAMPAIGN COUNTY</w:t>
    </w:r>
  </w:p>
  <w:p w14:paraId="0B3049E5" w14:textId="77777777" w:rsidR="0056024F" w:rsidRPr="00FC7A1A" w:rsidRDefault="0056024F" w:rsidP="0041497A">
    <w:pPr>
      <w:jc w:val="center"/>
      <w:rPr>
        <w:rFonts w:cs="Arial"/>
        <w:b/>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B9A2" w14:textId="77777777" w:rsidR="0056024F" w:rsidRDefault="0056024F" w:rsidP="0041497A">
    <w:pPr>
      <w:jc w:val="center"/>
      <w:rPr>
        <w:rFonts w:cs="Arial"/>
        <w:b/>
        <w:szCs w:val="20"/>
      </w:rPr>
    </w:pPr>
    <w:r w:rsidRPr="00FC7A1A">
      <w:rPr>
        <w:rFonts w:cs="Arial"/>
        <w:b/>
        <w:szCs w:val="20"/>
      </w:rPr>
      <w:t>CHAMPAIGN HEALTH DISTRICT</w:t>
    </w:r>
  </w:p>
  <w:p w14:paraId="134F41D6" w14:textId="77777777" w:rsidR="0056024F" w:rsidRPr="00FC7A1A" w:rsidRDefault="0056024F" w:rsidP="0041497A">
    <w:pPr>
      <w:jc w:val="center"/>
      <w:rPr>
        <w:rFonts w:cs="Arial"/>
        <w:b/>
        <w:szCs w:val="20"/>
      </w:rPr>
    </w:pPr>
    <w:r>
      <w:rPr>
        <w:rFonts w:cs="Arial"/>
        <w:b/>
        <w:szCs w:val="20"/>
      </w:rPr>
      <w:t>CHAMPAIGN COUNTY</w:t>
    </w:r>
  </w:p>
  <w:p w14:paraId="629D7B3E" w14:textId="77777777" w:rsidR="0056024F" w:rsidRPr="00694B83" w:rsidRDefault="0056024F" w:rsidP="0041497A">
    <w:pPr>
      <w:jc w:val="both"/>
      <w:rPr>
        <w:rFonts w:cs="Arial"/>
        <w:b/>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32CC9"/>
    <w:multiLevelType w:val="hybridMultilevel"/>
    <w:tmpl w:val="B55AD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B9689E"/>
    <w:multiLevelType w:val="hybridMultilevel"/>
    <w:tmpl w:val="EF961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4F3871"/>
    <w:multiLevelType w:val="hybridMultilevel"/>
    <w:tmpl w:val="6BFC3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824EAE"/>
    <w:multiLevelType w:val="hybridMultilevel"/>
    <w:tmpl w:val="6512CF4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61B532C8"/>
    <w:multiLevelType w:val="hybridMultilevel"/>
    <w:tmpl w:val="B21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89245152">
    <w:abstractNumId w:val="4"/>
  </w:num>
  <w:num w:numId="2" w16cid:durableId="879323464">
    <w:abstractNumId w:val="2"/>
  </w:num>
  <w:num w:numId="3" w16cid:durableId="375392520">
    <w:abstractNumId w:val="0"/>
  </w:num>
  <w:num w:numId="4" w16cid:durableId="1455294058">
    <w:abstractNumId w:val="1"/>
  </w:num>
  <w:num w:numId="5" w16cid:durableId="9097714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66F"/>
    <w:rsid w:val="00007531"/>
    <w:rsid w:val="000106AF"/>
    <w:rsid w:val="00010D3D"/>
    <w:rsid w:val="000134F9"/>
    <w:rsid w:val="00017A80"/>
    <w:rsid w:val="00020706"/>
    <w:rsid w:val="00026761"/>
    <w:rsid w:val="00027617"/>
    <w:rsid w:val="0003079F"/>
    <w:rsid w:val="00033954"/>
    <w:rsid w:val="000405E3"/>
    <w:rsid w:val="0004758F"/>
    <w:rsid w:val="00055E95"/>
    <w:rsid w:val="000610A1"/>
    <w:rsid w:val="000626A5"/>
    <w:rsid w:val="0006410F"/>
    <w:rsid w:val="00064AAA"/>
    <w:rsid w:val="000651B8"/>
    <w:rsid w:val="0006609D"/>
    <w:rsid w:val="0008239A"/>
    <w:rsid w:val="00085977"/>
    <w:rsid w:val="0008778D"/>
    <w:rsid w:val="000914FF"/>
    <w:rsid w:val="00092751"/>
    <w:rsid w:val="000A239F"/>
    <w:rsid w:val="000A35AC"/>
    <w:rsid w:val="000A432C"/>
    <w:rsid w:val="000A6ED0"/>
    <w:rsid w:val="000B18F6"/>
    <w:rsid w:val="000B1D84"/>
    <w:rsid w:val="000D0E4E"/>
    <w:rsid w:val="000D281E"/>
    <w:rsid w:val="000D6E48"/>
    <w:rsid w:val="000E4532"/>
    <w:rsid w:val="000E6874"/>
    <w:rsid w:val="000F2D67"/>
    <w:rsid w:val="000F6D71"/>
    <w:rsid w:val="001006DD"/>
    <w:rsid w:val="00101E3F"/>
    <w:rsid w:val="00121BBA"/>
    <w:rsid w:val="00126394"/>
    <w:rsid w:val="00130BFF"/>
    <w:rsid w:val="00130D02"/>
    <w:rsid w:val="001311B3"/>
    <w:rsid w:val="00131C75"/>
    <w:rsid w:val="001376B1"/>
    <w:rsid w:val="001434A6"/>
    <w:rsid w:val="001526C9"/>
    <w:rsid w:val="001605AA"/>
    <w:rsid w:val="00166465"/>
    <w:rsid w:val="0016788F"/>
    <w:rsid w:val="0017197B"/>
    <w:rsid w:val="001739F3"/>
    <w:rsid w:val="00173C53"/>
    <w:rsid w:val="00174380"/>
    <w:rsid w:val="00184E6A"/>
    <w:rsid w:val="0018669C"/>
    <w:rsid w:val="00193C73"/>
    <w:rsid w:val="00194376"/>
    <w:rsid w:val="0019700B"/>
    <w:rsid w:val="001976CB"/>
    <w:rsid w:val="001A3AC0"/>
    <w:rsid w:val="001A55DD"/>
    <w:rsid w:val="001B4555"/>
    <w:rsid w:val="001C00B1"/>
    <w:rsid w:val="001C0F47"/>
    <w:rsid w:val="001C2089"/>
    <w:rsid w:val="001C2410"/>
    <w:rsid w:val="001C42AF"/>
    <w:rsid w:val="001C5282"/>
    <w:rsid w:val="001D33A9"/>
    <w:rsid w:val="001D7D48"/>
    <w:rsid w:val="001E36ED"/>
    <w:rsid w:val="001E43C8"/>
    <w:rsid w:val="001E5064"/>
    <w:rsid w:val="001F2154"/>
    <w:rsid w:val="001F5E70"/>
    <w:rsid w:val="00201A47"/>
    <w:rsid w:val="00203B96"/>
    <w:rsid w:val="002055FE"/>
    <w:rsid w:val="00215D7A"/>
    <w:rsid w:val="0021740F"/>
    <w:rsid w:val="00222591"/>
    <w:rsid w:val="00227D4C"/>
    <w:rsid w:val="0023295E"/>
    <w:rsid w:val="00237BF3"/>
    <w:rsid w:val="00240D0F"/>
    <w:rsid w:val="00242D18"/>
    <w:rsid w:val="0024460A"/>
    <w:rsid w:val="00246244"/>
    <w:rsid w:val="00254678"/>
    <w:rsid w:val="00255591"/>
    <w:rsid w:val="0026030B"/>
    <w:rsid w:val="00263DA5"/>
    <w:rsid w:val="00264331"/>
    <w:rsid w:val="00276F79"/>
    <w:rsid w:val="0027715D"/>
    <w:rsid w:val="00287747"/>
    <w:rsid w:val="00290384"/>
    <w:rsid w:val="00290431"/>
    <w:rsid w:val="002923D8"/>
    <w:rsid w:val="0029692B"/>
    <w:rsid w:val="002A0D4F"/>
    <w:rsid w:val="002B3498"/>
    <w:rsid w:val="002B4755"/>
    <w:rsid w:val="002C25B2"/>
    <w:rsid w:val="002C3BDA"/>
    <w:rsid w:val="002C655B"/>
    <w:rsid w:val="002D4797"/>
    <w:rsid w:val="002E5C03"/>
    <w:rsid w:val="002E683B"/>
    <w:rsid w:val="002E7702"/>
    <w:rsid w:val="002F00F7"/>
    <w:rsid w:val="002F7CBA"/>
    <w:rsid w:val="00302938"/>
    <w:rsid w:val="00307916"/>
    <w:rsid w:val="00310CC6"/>
    <w:rsid w:val="003127ED"/>
    <w:rsid w:val="00313653"/>
    <w:rsid w:val="00314CCF"/>
    <w:rsid w:val="00320782"/>
    <w:rsid w:val="0032305A"/>
    <w:rsid w:val="00323978"/>
    <w:rsid w:val="00324C9F"/>
    <w:rsid w:val="003259C4"/>
    <w:rsid w:val="0032708A"/>
    <w:rsid w:val="00330C8E"/>
    <w:rsid w:val="00334EDF"/>
    <w:rsid w:val="00356880"/>
    <w:rsid w:val="0036460E"/>
    <w:rsid w:val="00365BD2"/>
    <w:rsid w:val="00376C1E"/>
    <w:rsid w:val="0038353C"/>
    <w:rsid w:val="003850CD"/>
    <w:rsid w:val="003902F2"/>
    <w:rsid w:val="00390BB3"/>
    <w:rsid w:val="0039283A"/>
    <w:rsid w:val="00394F08"/>
    <w:rsid w:val="00395150"/>
    <w:rsid w:val="003A1489"/>
    <w:rsid w:val="003A4399"/>
    <w:rsid w:val="003A5599"/>
    <w:rsid w:val="003A5CDF"/>
    <w:rsid w:val="003A66B5"/>
    <w:rsid w:val="003B29C1"/>
    <w:rsid w:val="003B37F4"/>
    <w:rsid w:val="003B456D"/>
    <w:rsid w:val="003F0E15"/>
    <w:rsid w:val="003F42F3"/>
    <w:rsid w:val="00401FB4"/>
    <w:rsid w:val="00407C42"/>
    <w:rsid w:val="00410E82"/>
    <w:rsid w:val="00410EA9"/>
    <w:rsid w:val="004116E2"/>
    <w:rsid w:val="00411B08"/>
    <w:rsid w:val="0041255E"/>
    <w:rsid w:val="0041497A"/>
    <w:rsid w:val="0041766F"/>
    <w:rsid w:val="004217DE"/>
    <w:rsid w:val="00425D3F"/>
    <w:rsid w:val="00426765"/>
    <w:rsid w:val="00444F77"/>
    <w:rsid w:val="004478EF"/>
    <w:rsid w:val="0045553F"/>
    <w:rsid w:val="00460022"/>
    <w:rsid w:val="004717C2"/>
    <w:rsid w:val="00476945"/>
    <w:rsid w:val="0047710D"/>
    <w:rsid w:val="004868F0"/>
    <w:rsid w:val="004A1899"/>
    <w:rsid w:val="004A2E26"/>
    <w:rsid w:val="004A3D76"/>
    <w:rsid w:val="004A4ED7"/>
    <w:rsid w:val="004A6D95"/>
    <w:rsid w:val="004B25DC"/>
    <w:rsid w:val="004B7D0D"/>
    <w:rsid w:val="004D0C8D"/>
    <w:rsid w:val="004D49FE"/>
    <w:rsid w:val="004D4A98"/>
    <w:rsid w:val="004E3CBC"/>
    <w:rsid w:val="004E4E6B"/>
    <w:rsid w:val="004F1204"/>
    <w:rsid w:val="004F4703"/>
    <w:rsid w:val="004F4DE8"/>
    <w:rsid w:val="00507A7A"/>
    <w:rsid w:val="00507B85"/>
    <w:rsid w:val="005123BE"/>
    <w:rsid w:val="00515951"/>
    <w:rsid w:val="005200A3"/>
    <w:rsid w:val="00523265"/>
    <w:rsid w:val="00535F72"/>
    <w:rsid w:val="0053722D"/>
    <w:rsid w:val="00546042"/>
    <w:rsid w:val="00547992"/>
    <w:rsid w:val="00550C60"/>
    <w:rsid w:val="0056024F"/>
    <w:rsid w:val="0056121A"/>
    <w:rsid w:val="0057545F"/>
    <w:rsid w:val="00575CE4"/>
    <w:rsid w:val="00576977"/>
    <w:rsid w:val="00582D34"/>
    <w:rsid w:val="0058387A"/>
    <w:rsid w:val="00592604"/>
    <w:rsid w:val="005927A8"/>
    <w:rsid w:val="0059373C"/>
    <w:rsid w:val="0059689B"/>
    <w:rsid w:val="005A1ED7"/>
    <w:rsid w:val="005A3182"/>
    <w:rsid w:val="005A64DB"/>
    <w:rsid w:val="005A69F9"/>
    <w:rsid w:val="005B2E92"/>
    <w:rsid w:val="005B7C27"/>
    <w:rsid w:val="005C21D3"/>
    <w:rsid w:val="005C2D41"/>
    <w:rsid w:val="005C3629"/>
    <w:rsid w:val="005D342C"/>
    <w:rsid w:val="005E31E8"/>
    <w:rsid w:val="005E5685"/>
    <w:rsid w:val="005F289D"/>
    <w:rsid w:val="005F64BB"/>
    <w:rsid w:val="00606A8B"/>
    <w:rsid w:val="006143E5"/>
    <w:rsid w:val="006147A2"/>
    <w:rsid w:val="00615EB3"/>
    <w:rsid w:val="00617B2B"/>
    <w:rsid w:val="00620BC0"/>
    <w:rsid w:val="00620ED2"/>
    <w:rsid w:val="00621C92"/>
    <w:rsid w:val="006258FF"/>
    <w:rsid w:val="006262B5"/>
    <w:rsid w:val="0063013B"/>
    <w:rsid w:val="00634624"/>
    <w:rsid w:val="006438A4"/>
    <w:rsid w:val="00645AEB"/>
    <w:rsid w:val="006463F0"/>
    <w:rsid w:val="006476B7"/>
    <w:rsid w:val="00650572"/>
    <w:rsid w:val="00655F0D"/>
    <w:rsid w:val="00662B9D"/>
    <w:rsid w:val="006672B2"/>
    <w:rsid w:val="0067049B"/>
    <w:rsid w:val="006711F1"/>
    <w:rsid w:val="00672D7D"/>
    <w:rsid w:val="00675EEA"/>
    <w:rsid w:val="006804E7"/>
    <w:rsid w:val="00682D98"/>
    <w:rsid w:val="006844C2"/>
    <w:rsid w:val="00692DFB"/>
    <w:rsid w:val="00693087"/>
    <w:rsid w:val="00694EE7"/>
    <w:rsid w:val="006966C5"/>
    <w:rsid w:val="00697047"/>
    <w:rsid w:val="006A0644"/>
    <w:rsid w:val="006A379D"/>
    <w:rsid w:val="006A3B92"/>
    <w:rsid w:val="006A5AB4"/>
    <w:rsid w:val="006B44A8"/>
    <w:rsid w:val="006B7EB7"/>
    <w:rsid w:val="006C49EA"/>
    <w:rsid w:val="006C4EDD"/>
    <w:rsid w:val="006D0EC1"/>
    <w:rsid w:val="006D38C8"/>
    <w:rsid w:val="006D6100"/>
    <w:rsid w:val="006E34A2"/>
    <w:rsid w:val="00700277"/>
    <w:rsid w:val="00704EE5"/>
    <w:rsid w:val="007062FB"/>
    <w:rsid w:val="00706980"/>
    <w:rsid w:val="00717BDA"/>
    <w:rsid w:val="0072246E"/>
    <w:rsid w:val="00724FEA"/>
    <w:rsid w:val="007327C7"/>
    <w:rsid w:val="007405B3"/>
    <w:rsid w:val="007537D9"/>
    <w:rsid w:val="00754298"/>
    <w:rsid w:val="007571EF"/>
    <w:rsid w:val="0076236D"/>
    <w:rsid w:val="00762469"/>
    <w:rsid w:val="007708FE"/>
    <w:rsid w:val="00776BF7"/>
    <w:rsid w:val="0078441B"/>
    <w:rsid w:val="00786A1C"/>
    <w:rsid w:val="00787EF1"/>
    <w:rsid w:val="007916FF"/>
    <w:rsid w:val="007A2D58"/>
    <w:rsid w:val="007A6681"/>
    <w:rsid w:val="007A71F4"/>
    <w:rsid w:val="007B03EB"/>
    <w:rsid w:val="007B31E7"/>
    <w:rsid w:val="007B5FF3"/>
    <w:rsid w:val="007B798D"/>
    <w:rsid w:val="007C1480"/>
    <w:rsid w:val="007C5FF9"/>
    <w:rsid w:val="007D1AB8"/>
    <w:rsid w:val="007D7D6E"/>
    <w:rsid w:val="007F35A5"/>
    <w:rsid w:val="007F4D98"/>
    <w:rsid w:val="007F6003"/>
    <w:rsid w:val="00803B47"/>
    <w:rsid w:val="00806941"/>
    <w:rsid w:val="0080789A"/>
    <w:rsid w:val="00811570"/>
    <w:rsid w:val="00813E3E"/>
    <w:rsid w:val="00817177"/>
    <w:rsid w:val="00822B7B"/>
    <w:rsid w:val="00845311"/>
    <w:rsid w:val="008676DA"/>
    <w:rsid w:val="00867A7D"/>
    <w:rsid w:val="00870CA0"/>
    <w:rsid w:val="00872EE8"/>
    <w:rsid w:val="0087336E"/>
    <w:rsid w:val="008774F5"/>
    <w:rsid w:val="00877796"/>
    <w:rsid w:val="00895366"/>
    <w:rsid w:val="00895A78"/>
    <w:rsid w:val="008A131F"/>
    <w:rsid w:val="008A380C"/>
    <w:rsid w:val="008B0155"/>
    <w:rsid w:val="008B16C2"/>
    <w:rsid w:val="008C1AA8"/>
    <w:rsid w:val="008C2861"/>
    <w:rsid w:val="008D1102"/>
    <w:rsid w:val="008E33D0"/>
    <w:rsid w:val="008E6374"/>
    <w:rsid w:val="008F091E"/>
    <w:rsid w:val="008F3785"/>
    <w:rsid w:val="008F44CD"/>
    <w:rsid w:val="008F7F27"/>
    <w:rsid w:val="00901AC7"/>
    <w:rsid w:val="00902377"/>
    <w:rsid w:val="0090453A"/>
    <w:rsid w:val="0090612D"/>
    <w:rsid w:val="00915A1A"/>
    <w:rsid w:val="009223F6"/>
    <w:rsid w:val="00926132"/>
    <w:rsid w:val="0094068D"/>
    <w:rsid w:val="00941723"/>
    <w:rsid w:val="00944313"/>
    <w:rsid w:val="00944398"/>
    <w:rsid w:val="00951D5C"/>
    <w:rsid w:val="00952C6A"/>
    <w:rsid w:val="00955C41"/>
    <w:rsid w:val="00956609"/>
    <w:rsid w:val="00965C94"/>
    <w:rsid w:val="00966EC5"/>
    <w:rsid w:val="009717BC"/>
    <w:rsid w:val="00972EBD"/>
    <w:rsid w:val="00980BB8"/>
    <w:rsid w:val="00982380"/>
    <w:rsid w:val="009900F3"/>
    <w:rsid w:val="00990866"/>
    <w:rsid w:val="00996AA2"/>
    <w:rsid w:val="00997A96"/>
    <w:rsid w:val="009A3089"/>
    <w:rsid w:val="009A3B6E"/>
    <w:rsid w:val="009B457A"/>
    <w:rsid w:val="009C2708"/>
    <w:rsid w:val="009C72E0"/>
    <w:rsid w:val="009D157C"/>
    <w:rsid w:val="009D2189"/>
    <w:rsid w:val="009D57EF"/>
    <w:rsid w:val="009D7687"/>
    <w:rsid w:val="009D769D"/>
    <w:rsid w:val="009E2519"/>
    <w:rsid w:val="009F1C90"/>
    <w:rsid w:val="009F4B78"/>
    <w:rsid w:val="00A04456"/>
    <w:rsid w:val="00A062C2"/>
    <w:rsid w:val="00A06FAD"/>
    <w:rsid w:val="00A1591A"/>
    <w:rsid w:val="00A16B5B"/>
    <w:rsid w:val="00A20015"/>
    <w:rsid w:val="00A32E5F"/>
    <w:rsid w:val="00A35C07"/>
    <w:rsid w:val="00A36E77"/>
    <w:rsid w:val="00A421D7"/>
    <w:rsid w:val="00A47C73"/>
    <w:rsid w:val="00A52AFD"/>
    <w:rsid w:val="00A54C9E"/>
    <w:rsid w:val="00A609F0"/>
    <w:rsid w:val="00A626F0"/>
    <w:rsid w:val="00A6605E"/>
    <w:rsid w:val="00A66EDE"/>
    <w:rsid w:val="00A67ACE"/>
    <w:rsid w:val="00A7137F"/>
    <w:rsid w:val="00A7431F"/>
    <w:rsid w:val="00A813FD"/>
    <w:rsid w:val="00A877F9"/>
    <w:rsid w:val="00A93E2F"/>
    <w:rsid w:val="00AA4A11"/>
    <w:rsid w:val="00AB16A3"/>
    <w:rsid w:val="00AB522C"/>
    <w:rsid w:val="00AB60BF"/>
    <w:rsid w:val="00AC5758"/>
    <w:rsid w:val="00AD43B8"/>
    <w:rsid w:val="00AD7F9C"/>
    <w:rsid w:val="00AE0A36"/>
    <w:rsid w:val="00AE5FC2"/>
    <w:rsid w:val="00AF06AC"/>
    <w:rsid w:val="00AF1B6D"/>
    <w:rsid w:val="00AF5D8D"/>
    <w:rsid w:val="00B012A8"/>
    <w:rsid w:val="00B06679"/>
    <w:rsid w:val="00B119B1"/>
    <w:rsid w:val="00B15BEF"/>
    <w:rsid w:val="00B2173D"/>
    <w:rsid w:val="00B21933"/>
    <w:rsid w:val="00B320C9"/>
    <w:rsid w:val="00B33F7D"/>
    <w:rsid w:val="00B36155"/>
    <w:rsid w:val="00B36977"/>
    <w:rsid w:val="00B37CE0"/>
    <w:rsid w:val="00B4624A"/>
    <w:rsid w:val="00B52758"/>
    <w:rsid w:val="00B57993"/>
    <w:rsid w:val="00B61AEF"/>
    <w:rsid w:val="00B61B01"/>
    <w:rsid w:val="00B74D4C"/>
    <w:rsid w:val="00B835C5"/>
    <w:rsid w:val="00B852A5"/>
    <w:rsid w:val="00B863ED"/>
    <w:rsid w:val="00B91B15"/>
    <w:rsid w:val="00B9279C"/>
    <w:rsid w:val="00BA15B9"/>
    <w:rsid w:val="00BA519E"/>
    <w:rsid w:val="00BB23DB"/>
    <w:rsid w:val="00BB295A"/>
    <w:rsid w:val="00BB2FF1"/>
    <w:rsid w:val="00BC49EC"/>
    <w:rsid w:val="00BC4C04"/>
    <w:rsid w:val="00BC5D37"/>
    <w:rsid w:val="00BD0FB0"/>
    <w:rsid w:val="00BD79EB"/>
    <w:rsid w:val="00BE7434"/>
    <w:rsid w:val="00BF3CCD"/>
    <w:rsid w:val="00C02D65"/>
    <w:rsid w:val="00C06CCE"/>
    <w:rsid w:val="00C113E8"/>
    <w:rsid w:val="00C1650B"/>
    <w:rsid w:val="00C2163E"/>
    <w:rsid w:val="00C26A86"/>
    <w:rsid w:val="00C30919"/>
    <w:rsid w:val="00C36451"/>
    <w:rsid w:val="00C37077"/>
    <w:rsid w:val="00C5687B"/>
    <w:rsid w:val="00C600AD"/>
    <w:rsid w:val="00C60B0C"/>
    <w:rsid w:val="00C6287A"/>
    <w:rsid w:val="00C80866"/>
    <w:rsid w:val="00C85ABD"/>
    <w:rsid w:val="00C90A24"/>
    <w:rsid w:val="00C91402"/>
    <w:rsid w:val="00C918A0"/>
    <w:rsid w:val="00CB026B"/>
    <w:rsid w:val="00CB12C8"/>
    <w:rsid w:val="00CB2717"/>
    <w:rsid w:val="00CB5F72"/>
    <w:rsid w:val="00CC0538"/>
    <w:rsid w:val="00CD43CC"/>
    <w:rsid w:val="00CE1875"/>
    <w:rsid w:val="00CE411B"/>
    <w:rsid w:val="00CE42D6"/>
    <w:rsid w:val="00CE4CFA"/>
    <w:rsid w:val="00CE72E4"/>
    <w:rsid w:val="00CE7681"/>
    <w:rsid w:val="00CF1C40"/>
    <w:rsid w:val="00CF1F8F"/>
    <w:rsid w:val="00CF3CF6"/>
    <w:rsid w:val="00CF6F08"/>
    <w:rsid w:val="00D00107"/>
    <w:rsid w:val="00D02027"/>
    <w:rsid w:val="00D03218"/>
    <w:rsid w:val="00D036D4"/>
    <w:rsid w:val="00D0379F"/>
    <w:rsid w:val="00D040D1"/>
    <w:rsid w:val="00D041C2"/>
    <w:rsid w:val="00D04FC8"/>
    <w:rsid w:val="00D143A0"/>
    <w:rsid w:val="00D225FF"/>
    <w:rsid w:val="00D24584"/>
    <w:rsid w:val="00D26367"/>
    <w:rsid w:val="00D329ED"/>
    <w:rsid w:val="00D332D0"/>
    <w:rsid w:val="00D40B05"/>
    <w:rsid w:val="00D463EE"/>
    <w:rsid w:val="00D47194"/>
    <w:rsid w:val="00D51162"/>
    <w:rsid w:val="00D546C9"/>
    <w:rsid w:val="00D66828"/>
    <w:rsid w:val="00D67465"/>
    <w:rsid w:val="00D70DEA"/>
    <w:rsid w:val="00D72A85"/>
    <w:rsid w:val="00D80118"/>
    <w:rsid w:val="00D94F04"/>
    <w:rsid w:val="00D97B0F"/>
    <w:rsid w:val="00DA3496"/>
    <w:rsid w:val="00DA522A"/>
    <w:rsid w:val="00DA6A62"/>
    <w:rsid w:val="00DB1526"/>
    <w:rsid w:val="00DB4046"/>
    <w:rsid w:val="00DB4A9A"/>
    <w:rsid w:val="00DC25F9"/>
    <w:rsid w:val="00DC45BE"/>
    <w:rsid w:val="00DD3EBC"/>
    <w:rsid w:val="00DD4366"/>
    <w:rsid w:val="00DD4D2E"/>
    <w:rsid w:val="00DE3984"/>
    <w:rsid w:val="00DE5765"/>
    <w:rsid w:val="00DE62C7"/>
    <w:rsid w:val="00DF01E9"/>
    <w:rsid w:val="00DF0EE2"/>
    <w:rsid w:val="00DF1C9F"/>
    <w:rsid w:val="00DF63C9"/>
    <w:rsid w:val="00E07A08"/>
    <w:rsid w:val="00E17F1E"/>
    <w:rsid w:val="00E31169"/>
    <w:rsid w:val="00E34C6B"/>
    <w:rsid w:val="00E37647"/>
    <w:rsid w:val="00E37A3F"/>
    <w:rsid w:val="00E37E66"/>
    <w:rsid w:val="00E42BAA"/>
    <w:rsid w:val="00E4391D"/>
    <w:rsid w:val="00E4774E"/>
    <w:rsid w:val="00E52834"/>
    <w:rsid w:val="00E56E20"/>
    <w:rsid w:val="00E57572"/>
    <w:rsid w:val="00E57E3C"/>
    <w:rsid w:val="00E60C90"/>
    <w:rsid w:val="00E63504"/>
    <w:rsid w:val="00E67D0D"/>
    <w:rsid w:val="00E7119C"/>
    <w:rsid w:val="00E745A4"/>
    <w:rsid w:val="00E75FD6"/>
    <w:rsid w:val="00E76D90"/>
    <w:rsid w:val="00E80035"/>
    <w:rsid w:val="00E82BD0"/>
    <w:rsid w:val="00E95E53"/>
    <w:rsid w:val="00E971C5"/>
    <w:rsid w:val="00EB4851"/>
    <w:rsid w:val="00EB5FC0"/>
    <w:rsid w:val="00EB7773"/>
    <w:rsid w:val="00EC0E03"/>
    <w:rsid w:val="00EC20A2"/>
    <w:rsid w:val="00EC2830"/>
    <w:rsid w:val="00EC3440"/>
    <w:rsid w:val="00EC3830"/>
    <w:rsid w:val="00EC61E6"/>
    <w:rsid w:val="00ED376C"/>
    <w:rsid w:val="00ED404D"/>
    <w:rsid w:val="00EE048D"/>
    <w:rsid w:val="00EE418B"/>
    <w:rsid w:val="00EE4943"/>
    <w:rsid w:val="00F009FE"/>
    <w:rsid w:val="00F120F4"/>
    <w:rsid w:val="00F13566"/>
    <w:rsid w:val="00F166BF"/>
    <w:rsid w:val="00F171FB"/>
    <w:rsid w:val="00F21A2A"/>
    <w:rsid w:val="00F2557F"/>
    <w:rsid w:val="00F37841"/>
    <w:rsid w:val="00F42D51"/>
    <w:rsid w:val="00F430EA"/>
    <w:rsid w:val="00F44AC3"/>
    <w:rsid w:val="00F47BF8"/>
    <w:rsid w:val="00F52E51"/>
    <w:rsid w:val="00F55F68"/>
    <w:rsid w:val="00F614EF"/>
    <w:rsid w:val="00F727DB"/>
    <w:rsid w:val="00F72C60"/>
    <w:rsid w:val="00F74910"/>
    <w:rsid w:val="00F74BE4"/>
    <w:rsid w:val="00F95268"/>
    <w:rsid w:val="00FA0A5B"/>
    <w:rsid w:val="00FA163D"/>
    <w:rsid w:val="00FA180E"/>
    <w:rsid w:val="00FA47FE"/>
    <w:rsid w:val="00FA4DE1"/>
    <w:rsid w:val="00FA5D91"/>
    <w:rsid w:val="00FB0CA5"/>
    <w:rsid w:val="00FB2186"/>
    <w:rsid w:val="00FC2BC7"/>
    <w:rsid w:val="00FC67E9"/>
    <w:rsid w:val="00FD421E"/>
    <w:rsid w:val="00FE37F6"/>
    <w:rsid w:val="00FE5B55"/>
    <w:rsid w:val="00FF14EA"/>
    <w:rsid w:val="00FF39BA"/>
    <w:rsid w:val="00FF5737"/>
    <w:rsid w:val="00FF6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3FC2B137"/>
  <w15:docId w15:val="{61A80C47-AFF9-4256-BC74-A0819616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66F"/>
    <w:pPr>
      <w:widowControl w:val="0"/>
      <w:autoSpaceDE w:val="0"/>
      <w:autoSpaceDN w:val="0"/>
      <w:adjustRightInd w:val="0"/>
      <w:spacing w:after="0"/>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7916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4E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4E6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61AE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61AE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430EA"/>
    <w:pPr>
      <w:framePr w:w="7920" w:h="1980" w:hRule="exact" w:hSpace="180" w:wrap="auto" w:hAnchor="page" w:xAlign="center" w:yAlign="bottom"/>
      <w:ind w:left="2880"/>
    </w:pPr>
    <w:rPr>
      <w:rFonts w:eastAsiaTheme="majorEastAsia" w:cstheme="majorBidi"/>
      <w:sz w:val="24"/>
    </w:rPr>
  </w:style>
  <w:style w:type="paragraph" w:styleId="EnvelopeReturn">
    <w:name w:val="envelope return"/>
    <w:basedOn w:val="Normal"/>
    <w:uiPriority w:val="99"/>
    <w:semiHidden/>
    <w:unhideWhenUsed/>
    <w:rsid w:val="00F430EA"/>
    <w:rPr>
      <w:rFonts w:eastAsiaTheme="majorEastAsia" w:cstheme="majorBidi"/>
      <w:szCs w:val="20"/>
    </w:rPr>
  </w:style>
  <w:style w:type="paragraph" w:styleId="Footer">
    <w:name w:val="footer"/>
    <w:basedOn w:val="Normal"/>
    <w:link w:val="FooterChar"/>
    <w:uiPriority w:val="99"/>
    <w:rsid w:val="0041766F"/>
    <w:pPr>
      <w:tabs>
        <w:tab w:val="center" w:pos="4320"/>
        <w:tab w:val="right" w:pos="8640"/>
      </w:tabs>
    </w:pPr>
  </w:style>
  <w:style w:type="character" w:customStyle="1" w:styleId="FooterChar">
    <w:name w:val="Footer Char"/>
    <w:basedOn w:val="DefaultParagraphFont"/>
    <w:link w:val="Footer"/>
    <w:uiPriority w:val="99"/>
    <w:rsid w:val="0041766F"/>
    <w:rPr>
      <w:rFonts w:ascii="Arial" w:eastAsia="Times New Roman" w:hAnsi="Arial" w:cs="Times New Roman"/>
      <w:sz w:val="20"/>
      <w:szCs w:val="24"/>
    </w:rPr>
  </w:style>
  <w:style w:type="character" w:styleId="PageNumber">
    <w:name w:val="page number"/>
    <w:basedOn w:val="DefaultParagraphFont"/>
    <w:rsid w:val="0041766F"/>
  </w:style>
  <w:style w:type="paragraph" w:styleId="PlainText">
    <w:name w:val="Plain Text"/>
    <w:basedOn w:val="Normal"/>
    <w:link w:val="PlainTextChar"/>
    <w:rsid w:val="0041766F"/>
    <w:pPr>
      <w:widowControl/>
      <w:autoSpaceDE/>
      <w:autoSpaceDN/>
      <w:adjustRightInd/>
    </w:pPr>
    <w:rPr>
      <w:rFonts w:ascii="Courier New" w:hAnsi="Courier New" w:cs="Courier New"/>
      <w:szCs w:val="20"/>
    </w:rPr>
  </w:style>
  <w:style w:type="character" w:customStyle="1" w:styleId="PlainTextChar">
    <w:name w:val="Plain Text Char"/>
    <w:basedOn w:val="DefaultParagraphFont"/>
    <w:link w:val="PlainText"/>
    <w:rsid w:val="0041766F"/>
    <w:rPr>
      <w:rFonts w:ascii="Courier New" w:eastAsia="Times New Roman" w:hAnsi="Courier New" w:cs="Courier New"/>
      <w:sz w:val="20"/>
      <w:szCs w:val="20"/>
    </w:rPr>
  </w:style>
  <w:style w:type="paragraph" w:styleId="Header">
    <w:name w:val="header"/>
    <w:basedOn w:val="Normal"/>
    <w:link w:val="HeaderChar"/>
    <w:uiPriority w:val="99"/>
    <w:unhideWhenUsed/>
    <w:rsid w:val="0041497A"/>
    <w:pPr>
      <w:tabs>
        <w:tab w:val="center" w:pos="4680"/>
        <w:tab w:val="right" w:pos="9360"/>
      </w:tabs>
    </w:pPr>
  </w:style>
  <w:style w:type="character" w:customStyle="1" w:styleId="HeaderChar">
    <w:name w:val="Header Char"/>
    <w:basedOn w:val="DefaultParagraphFont"/>
    <w:link w:val="Header"/>
    <w:uiPriority w:val="99"/>
    <w:rsid w:val="0041497A"/>
    <w:rPr>
      <w:rFonts w:ascii="Arial" w:eastAsia="Times New Roman" w:hAnsi="Arial" w:cs="Times New Roman"/>
      <w:sz w:val="20"/>
      <w:szCs w:val="24"/>
    </w:rPr>
  </w:style>
  <w:style w:type="paragraph" w:styleId="ListParagraph">
    <w:name w:val="List Paragraph"/>
    <w:basedOn w:val="Normal"/>
    <w:uiPriority w:val="34"/>
    <w:qFormat/>
    <w:rsid w:val="0041497A"/>
    <w:pPr>
      <w:ind w:left="720"/>
      <w:contextualSpacing/>
    </w:pPr>
  </w:style>
  <w:style w:type="character" w:customStyle="1" w:styleId="footnoteref">
    <w:name w:val="footnote ref"/>
    <w:rsid w:val="007916FF"/>
  </w:style>
  <w:style w:type="paragraph" w:styleId="BalloonText">
    <w:name w:val="Balloon Text"/>
    <w:basedOn w:val="Normal"/>
    <w:link w:val="BalloonTextChar"/>
    <w:uiPriority w:val="99"/>
    <w:semiHidden/>
    <w:unhideWhenUsed/>
    <w:rsid w:val="007916FF"/>
    <w:rPr>
      <w:rFonts w:ascii="Tahoma" w:hAnsi="Tahoma" w:cs="Tahoma"/>
      <w:sz w:val="16"/>
      <w:szCs w:val="16"/>
    </w:rPr>
  </w:style>
  <w:style w:type="character" w:customStyle="1" w:styleId="BalloonTextChar">
    <w:name w:val="Balloon Text Char"/>
    <w:basedOn w:val="DefaultParagraphFont"/>
    <w:link w:val="BalloonText"/>
    <w:uiPriority w:val="99"/>
    <w:semiHidden/>
    <w:rsid w:val="007916FF"/>
    <w:rPr>
      <w:rFonts w:ascii="Tahoma" w:eastAsia="Times New Roman" w:hAnsi="Tahoma" w:cs="Tahoma"/>
      <w:sz w:val="16"/>
      <w:szCs w:val="16"/>
    </w:rPr>
  </w:style>
  <w:style w:type="character" w:customStyle="1" w:styleId="Heading1Char">
    <w:name w:val="Heading 1 Char"/>
    <w:basedOn w:val="DefaultParagraphFont"/>
    <w:link w:val="Heading1"/>
    <w:uiPriority w:val="9"/>
    <w:rsid w:val="007916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84E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4E6A"/>
    <w:rPr>
      <w:rFonts w:asciiTheme="majorHAnsi" w:eastAsiaTheme="majorEastAsia" w:hAnsiTheme="majorHAnsi" w:cstheme="majorBidi"/>
      <w:b/>
      <w:bCs/>
      <w:color w:val="4F81BD" w:themeColor="accent1"/>
      <w:sz w:val="20"/>
      <w:szCs w:val="24"/>
    </w:rPr>
  </w:style>
  <w:style w:type="character" w:customStyle="1" w:styleId="Heading4Char">
    <w:name w:val="Heading 4 Char"/>
    <w:basedOn w:val="DefaultParagraphFont"/>
    <w:link w:val="Heading4"/>
    <w:uiPriority w:val="9"/>
    <w:rsid w:val="00B61AEF"/>
    <w:rPr>
      <w:rFonts w:asciiTheme="majorHAnsi" w:eastAsiaTheme="majorEastAsia" w:hAnsiTheme="majorHAnsi" w:cstheme="majorBidi"/>
      <w:b/>
      <w:bCs/>
      <w:i/>
      <w:iCs/>
      <w:color w:val="4F81BD" w:themeColor="accent1"/>
      <w:sz w:val="20"/>
      <w:szCs w:val="24"/>
    </w:rPr>
  </w:style>
  <w:style w:type="character" w:customStyle="1" w:styleId="Heading5Char">
    <w:name w:val="Heading 5 Char"/>
    <w:basedOn w:val="DefaultParagraphFont"/>
    <w:link w:val="Heading5"/>
    <w:uiPriority w:val="9"/>
    <w:rsid w:val="00B61AEF"/>
    <w:rPr>
      <w:rFonts w:asciiTheme="majorHAnsi" w:eastAsiaTheme="majorEastAsia" w:hAnsiTheme="majorHAnsi" w:cstheme="majorBidi"/>
      <w:color w:val="243F60" w:themeColor="accent1" w:themeShade="7F"/>
      <w:sz w:val="20"/>
      <w:szCs w:val="24"/>
    </w:rPr>
  </w:style>
  <w:style w:type="paragraph" w:styleId="TOCHeading">
    <w:name w:val="TOC Heading"/>
    <w:basedOn w:val="Heading1"/>
    <w:next w:val="Normal"/>
    <w:uiPriority w:val="39"/>
    <w:unhideWhenUsed/>
    <w:qFormat/>
    <w:rsid w:val="00CB12C8"/>
    <w:pPr>
      <w:widowControl/>
      <w:autoSpaceDE/>
      <w:autoSpaceDN/>
      <w:adjustRightInd/>
      <w:spacing w:line="276" w:lineRule="auto"/>
      <w:outlineLvl w:val="9"/>
    </w:pPr>
  </w:style>
  <w:style w:type="paragraph" w:styleId="TOC1">
    <w:name w:val="toc 1"/>
    <w:basedOn w:val="Normal"/>
    <w:next w:val="Normal"/>
    <w:autoRedefine/>
    <w:uiPriority w:val="39"/>
    <w:unhideWhenUsed/>
    <w:rsid w:val="00CB12C8"/>
    <w:pPr>
      <w:spacing w:after="100"/>
    </w:pPr>
  </w:style>
  <w:style w:type="paragraph" w:styleId="TOC2">
    <w:name w:val="toc 2"/>
    <w:basedOn w:val="Normal"/>
    <w:next w:val="Normal"/>
    <w:autoRedefine/>
    <w:uiPriority w:val="39"/>
    <w:unhideWhenUsed/>
    <w:rsid w:val="00CB12C8"/>
    <w:pPr>
      <w:spacing w:after="100"/>
      <w:ind w:left="200"/>
    </w:pPr>
  </w:style>
  <w:style w:type="paragraph" w:styleId="TOC3">
    <w:name w:val="toc 3"/>
    <w:basedOn w:val="Normal"/>
    <w:next w:val="Normal"/>
    <w:autoRedefine/>
    <w:uiPriority w:val="39"/>
    <w:unhideWhenUsed/>
    <w:rsid w:val="00CB12C8"/>
    <w:pPr>
      <w:spacing w:after="100"/>
      <w:ind w:left="400"/>
    </w:pPr>
  </w:style>
  <w:style w:type="character" w:styleId="Hyperlink">
    <w:name w:val="Hyperlink"/>
    <w:basedOn w:val="DefaultParagraphFont"/>
    <w:uiPriority w:val="99"/>
    <w:unhideWhenUsed/>
    <w:rsid w:val="00CB12C8"/>
    <w:rPr>
      <w:color w:val="0000FF" w:themeColor="hyperlink"/>
      <w:u w:val="single"/>
    </w:rPr>
  </w:style>
  <w:style w:type="paragraph" w:styleId="Subtitle">
    <w:name w:val="Subtitle"/>
    <w:basedOn w:val="Normal"/>
    <w:next w:val="Normal"/>
    <w:link w:val="SubtitleChar"/>
    <w:uiPriority w:val="11"/>
    <w:qFormat/>
    <w:rsid w:val="00D040D1"/>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D040D1"/>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semiHidden/>
    <w:rsid w:val="00227D4C"/>
    <w:rPr>
      <w:szCs w:val="20"/>
    </w:rPr>
  </w:style>
  <w:style w:type="character" w:customStyle="1" w:styleId="FootnoteTextChar">
    <w:name w:val="Footnote Text Char"/>
    <w:basedOn w:val="DefaultParagraphFont"/>
    <w:link w:val="FootnoteText"/>
    <w:semiHidden/>
    <w:rsid w:val="00227D4C"/>
    <w:rPr>
      <w:rFonts w:ascii="Arial" w:eastAsia="Times New Roman" w:hAnsi="Arial" w:cs="Times New Roman"/>
      <w:sz w:val="20"/>
      <w:szCs w:val="20"/>
    </w:rPr>
  </w:style>
  <w:style w:type="paragraph" w:customStyle="1" w:styleId="Default">
    <w:name w:val="Default"/>
    <w:rsid w:val="00323978"/>
    <w:pPr>
      <w:autoSpaceDE w:val="0"/>
      <w:autoSpaceDN w:val="0"/>
      <w:adjustRightInd w:val="0"/>
      <w:spacing w:after="0"/>
    </w:pPr>
    <w:rPr>
      <w:rFonts w:ascii="Arial" w:hAnsi="Arial" w:cs="Arial"/>
      <w:color w:val="000000"/>
      <w:sz w:val="24"/>
      <w:szCs w:val="24"/>
    </w:rPr>
  </w:style>
  <w:style w:type="character" w:styleId="CommentReference">
    <w:name w:val="annotation reference"/>
    <w:basedOn w:val="DefaultParagraphFont"/>
    <w:uiPriority w:val="99"/>
    <w:semiHidden/>
    <w:unhideWhenUsed/>
    <w:rsid w:val="00A626F0"/>
    <w:rPr>
      <w:sz w:val="16"/>
      <w:szCs w:val="16"/>
    </w:rPr>
  </w:style>
  <w:style w:type="paragraph" w:styleId="CommentText">
    <w:name w:val="annotation text"/>
    <w:basedOn w:val="Normal"/>
    <w:link w:val="CommentTextChar"/>
    <w:uiPriority w:val="99"/>
    <w:semiHidden/>
    <w:unhideWhenUsed/>
    <w:rsid w:val="00A626F0"/>
    <w:rPr>
      <w:szCs w:val="20"/>
    </w:rPr>
  </w:style>
  <w:style w:type="character" w:customStyle="1" w:styleId="CommentTextChar">
    <w:name w:val="Comment Text Char"/>
    <w:basedOn w:val="DefaultParagraphFont"/>
    <w:link w:val="CommentText"/>
    <w:uiPriority w:val="99"/>
    <w:semiHidden/>
    <w:rsid w:val="00A626F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626F0"/>
    <w:rPr>
      <w:b/>
      <w:bCs/>
    </w:rPr>
  </w:style>
  <w:style w:type="character" w:customStyle="1" w:styleId="CommentSubjectChar">
    <w:name w:val="Comment Subject Char"/>
    <w:basedOn w:val="CommentTextChar"/>
    <w:link w:val="CommentSubject"/>
    <w:uiPriority w:val="99"/>
    <w:semiHidden/>
    <w:rsid w:val="00A626F0"/>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494">
      <w:bodyDiv w:val="1"/>
      <w:marLeft w:val="0"/>
      <w:marRight w:val="0"/>
      <w:marTop w:val="0"/>
      <w:marBottom w:val="0"/>
      <w:divBdr>
        <w:top w:val="none" w:sz="0" w:space="0" w:color="auto"/>
        <w:left w:val="none" w:sz="0" w:space="0" w:color="auto"/>
        <w:bottom w:val="none" w:sz="0" w:space="0" w:color="auto"/>
        <w:right w:val="none" w:sz="0" w:space="0" w:color="auto"/>
      </w:divBdr>
    </w:div>
    <w:div w:id="3754153">
      <w:bodyDiv w:val="1"/>
      <w:marLeft w:val="0"/>
      <w:marRight w:val="0"/>
      <w:marTop w:val="0"/>
      <w:marBottom w:val="0"/>
      <w:divBdr>
        <w:top w:val="none" w:sz="0" w:space="0" w:color="auto"/>
        <w:left w:val="none" w:sz="0" w:space="0" w:color="auto"/>
        <w:bottom w:val="none" w:sz="0" w:space="0" w:color="auto"/>
        <w:right w:val="none" w:sz="0" w:space="0" w:color="auto"/>
      </w:divBdr>
    </w:div>
    <w:div w:id="15470830">
      <w:bodyDiv w:val="1"/>
      <w:marLeft w:val="0"/>
      <w:marRight w:val="0"/>
      <w:marTop w:val="0"/>
      <w:marBottom w:val="0"/>
      <w:divBdr>
        <w:top w:val="none" w:sz="0" w:space="0" w:color="auto"/>
        <w:left w:val="none" w:sz="0" w:space="0" w:color="auto"/>
        <w:bottom w:val="none" w:sz="0" w:space="0" w:color="auto"/>
        <w:right w:val="none" w:sz="0" w:space="0" w:color="auto"/>
      </w:divBdr>
    </w:div>
    <w:div w:id="34161331">
      <w:bodyDiv w:val="1"/>
      <w:marLeft w:val="0"/>
      <w:marRight w:val="0"/>
      <w:marTop w:val="0"/>
      <w:marBottom w:val="0"/>
      <w:divBdr>
        <w:top w:val="none" w:sz="0" w:space="0" w:color="auto"/>
        <w:left w:val="none" w:sz="0" w:space="0" w:color="auto"/>
        <w:bottom w:val="none" w:sz="0" w:space="0" w:color="auto"/>
        <w:right w:val="none" w:sz="0" w:space="0" w:color="auto"/>
      </w:divBdr>
    </w:div>
    <w:div w:id="45031245">
      <w:bodyDiv w:val="1"/>
      <w:marLeft w:val="0"/>
      <w:marRight w:val="0"/>
      <w:marTop w:val="0"/>
      <w:marBottom w:val="0"/>
      <w:divBdr>
        <w:top w:val="none" w:sz="0" w:space="0" w:color="auto"/>
        <w:left w:val="none" w:sz="0" w:space="0" w:color="auto"/>
        <w:bottom w:val="none" w:sz="0" w:space="0" w:color="auto"/>
        <w:right w:val="none" w:sz="0" w:space="0" w:color="auto"/>
      </w:divBdr>
    </w:div>
    <w:div w:id="79570865">
      <w:bodyDiv w:val="1"/>
      <w:marLeft w:val="0"/>
      <w:marRight w:val="0"/>
      <w:marTop w:val="0"/>
      <w:marBottom w:val="0"/>
      <w:divBdr>
        <w:top w:val="none" w:sz="0" w:space="0" w:color="auto"/>
        <w:left w:val="none" w:sz="0" w:space="0" w:color="auto"/>
        <w:bottom w:val="none" w:sz="0" w:space="0" w:color="auto"/>
        <w:right w:val="none" w:sz="0" w:space="0" w:color="auto"/>
      </w:divBdr>
    </w:div>
    <w:div w:id="85926286">
      <w:bodyDiv w:val="1"/>
      <w:marLeft w:val="0"/>
      <w:marRight w:val="0"/>
      <w:marTop w:val="0"/>
      <w:marBottom w:val="0"/>
      <w:divBdr>
        <w:top w:val="none" w:sz="0" w:space="0" w:color="auto"/>
        <w:left w:val="none" w:sz="0" w:space="0" w:color="auto"/>
        <w:bottom w:val="none" w:sz="0" w:space="0" w:color="auto"/>
        <w:right w:val="none" w:sz="0" w:space="0" w:color="auto"/>
      </w:divBdr>
    </w:div>
    <w:div w:id="87240472">
      <w:bodyDiv w:val="1"/>
      <w:marLeft w:val="0"/>
      <w:marRight w:val="0"/>
      <w:marTop w:val="0"/>
      <w:marBottom w:val="0"/>
      <w:divBdr>
        <w:top w:val="none" w:sz="0" w:space="0" w:color="auto"/>
        <w:left w:val="none" w:sz="0" w:space="0" w:color="auto"/>
        <w:bottom w:val="none" w:sz="0" w:space="0" w:color="auto"/>
        <w:right w:val="none" w:sz="0" w:space="0" w:color="auto"/>
      </w:divBdr>
    </w:div>
    <w:div w:id="89013076">
      <w:bodyDiv w:val="1"/>
      <w:marLeft w:val="0"/>
      <w:marRight w:val="0"/>
      <w:marTop w:val="0"/>
      <w:marBottom w:val="0"/>
      <w:divBdr>
        <w:top w:val="none" w:sz="0" w:space="0" w:color="auto"/>
        <w:left w:val="none" w:sz="0" w:space="0" w:color="auto"/>
        <w:bottom w:val="none" w:sz="0" w:space="0" w:color="auto"/>
        <w:right w:val="none" w:sz="0" w:space="0" w:color="auto"/>
      </w:divBdr>
    </w:div>
    <w:div w:id="91052395">
      <w:bodyDiv w:val="1"/>
      <w:marLeft w:val="0"/>
      <w:marRight w:val="0"/>
      <w:marTop w:val="0"/>
      <w:marBottom w:val="0"/>
      <w:divBdr>
        <w:top w:val="none" w:sz="0" w:space="0" w:color="auto"/>
        <w:left w:val="none" w:sz="0" w:space="0" w:color="auto"/>
        <w:bottom w:val="none" w:sz="0" w:space="0" w:color="auto"/>
        <w:right w:val="none" w:sz="0" w:space="0" w:color="auto"/>
      </w:divBdr>
    </w:div>
    <w:div w:id="115028716">
      <w:bodyDiv w:val="1"/>
      <w:marLeft w:val="0"/>
      <w:marRight w:val="0"/>
      <w:marTop w:val="0"/>
      <w:marBottom w:val="0"/>
      <w:divBdr>
        <w:top w:val="none" w:sz="0" w:space="0" w:color="auto"/>
        <w:left w:val="none" w:sz="0" w:space="0" w:color="auto"/>
        <w:bottom w:val="none" w:sz="0" w:space="0" w:color="auto"/>
        <w:right w:val="none" w:sz="0" w:space="0" w:color="auto"/>
      </w:divBdr>
    </w:div>
    <w:div w:id="173500597">
      <w:bodyDiv w:val="1"/>
      <w:marLeft w:val="0"/>
      <w:marRight w:val="0"/>
      <w:marTop w:val="0"/>
      <w:marBottom w:val="0"/>
      <w:divBdr>
        <w:top w:val="none" w:sz="0" w:space="0" w:color="auto"/>
        <w:left w:val="none" w:sz="0" w:space="0" w:color="auto"/>
        <w:bottom w:val="none" w:sz="0" w:space="0" w:color="auto"/>
        <w:right w:val="none" w:sz="0" w:space="0" w:color="auto"/>
      </w:divBdr>
    </w:div>
    <w:div w:id="197856538">
      <w:bodyDiv w:val="1"/>
      <w:marLeft w:val="0"/>
      <w:marRight w:val="0"/>
      <w:marTop w:val="0"/>
      <w:marBottom w:val="0"/>
      <w:divBdr>
        <w:top w:val="none" w:sz="0" w:space="0" w:color="auto"/>
        <w:left w:val="none" w:sz="0" w:space="0" w:color="auto"/>
        <w:bottom w:val="none" w:sz="0" w:space="0" w:color="auto"/>
        <w:right w:val="none" w:sz="0" w:space="0" w:color="auto"/>
      </w:divBdr>
    </w:div>
    <w:div w:id="199392794">
      <w:bodyDiv w:val="1"/>
      <w:marLeft w:val="0"/>
      <w:marRight w:val="0"/>
      <w:marTop w:val="0"/>
      <w:marBottom w:val="0"/>
      <w:divBdr>
        <w:top w:val="none" w:sz="0" w:space="0" w:color="auto"/>
        <w:left w:val="none" w:sz="0" w:space="0" w:color="auto"/>
        <w:bottom w:val="none" w:sz="0" w:space="0" w:color="auto"/>
        <w:right w:val="none" w:sz="0" w:space="0" w:color="auto"/>
      </w:divBdr>
    </w:div>
    <w:div w:id="200703256">
      <w:bodyDiv w:val="1"/>
      <w:marLeft w:val="0"/>
      <w:marRight w:val="0"/>
      <w:marTop w:val="0"/>
      <w:marBottom w:val="0"/>
      <w:divBdr>
        <w:top w:val="none" w:sz="0" w:space="0" w:color="auto"/>
        <w:left w:val="none" w:sz="0" w:space="0" w:color="auto"/>
        <w:bottom w:val="none" w:sz="0" w:space="0" w:color="auto"/>
        <w:right w:val="none" w:sz="0" w:space="0" w:color="auto"/>
      </w:divBdr>
    </w:div>
    <w:div w:id="213125112">
      <w:bodyDiv w:val="1"/>
      <w:marLeft w:val="0"/>
      <w:marRight w:val="0"/>
      <w:marTop w:val="0"/>
      <w:marBottom w:val="0"/>
      <w:divBdr>
        <w:top w:val="none" w:sz="0" w:space="0" w:color="auto"/>
        <w:left w:val="none" w:sz="0" w:space="0" w:color="auto"/>
        <w:bottom w:val="none" w:sz="0" w:space="0" w:color="auto"/>
        <w:right w:val="none" w:sz="0" w:space="0" w:color="auto"/>
      </w:divBdr>
    </w:div>
    <w:div w:id="225071869">
      <w:bodyDiv w:val="1"/>
      <w:marLeft w:val="0"/>
      <w:marRight w:val="0"/>
      <w:marTop w:val="0"/>
      <w:marBottom w:val="0"/>
      <w:divBdr>
        <w:top w:val="none" w:sz="0" w:space="0" w:color="auto"/>
        <w:left w:val="none" w:sz="0" w:space="0" w:color="auto"/>
        <w:bottom w:val="none" w:sz="0" w:space="0" w:color="auto"/>
        <w:right w:val="none" w:sz="0" w:space="0" w:color="auto"/>
      </w:divBdr>
    </w:div>
    <w:div w:id="318535888">
      <w:bodyDiv w:val="1"/>
      <w:marLeft w:val="0"/>
      <w:marRight w:val="0"/>
      <w:marTop w:val="0"/>
      <w:marBottom w:val="0"/>
      <w:divBdr>
        <w:top w:val="none" w:sz="0" w:space="0" w:color="auto"/>
        <w:left w:val="none" w:sz="0" w:space="0" w:color="auto"/>
        <w:bottom w:val="none" w:sz="0" w:space="0" w:color="auto"/>
        <w:right w:val="none" w:sz="0" w:space="0" w:color="auto"/>
      </w:divBdr>
    </w:div>
    <w:div w:id="369771574">
      <w:bodyDiv w:val="1"/>
      <w:marLeft w:val="0"/>
      <w:marRight w:val="0"/>
      <w:marTop w:val="0"/>
      <w:marBottom w:val="0"/>
      <w:divBdr>
        <w:top w:val="none" w:sz="0" w:space="0" w:color="auto"/>
        <w:left w:val="none" w:sz="0" w:space="0" w:color="auto"/>
        <w:bottom w:val="none" w:sz="0" w:space="0" w:color="auto"/>
        <w:right w:val="none" w:sz="0" w:space="0" w:color="auto"/>
      </w:divBdr>
    </w:div>
    <w:div w:id="408238950">
      <w:bodyDiv w:val="1"/>
      <w:marLeft w:val="0"/>
      <w:marRight w:val="0"/>
      <w:marTop w:val="0"/>
      <w:marBottom w:val="0"/>
      <w:divBdr>
        <w:top w:val="none" w:sz="0" w:space="0" w:color="auto"/>
        <w:left w:val="none" w:sz="0" w:space="0" w:color="auto"/>
        <w:bottom w:val="none" w:sz="0" w:space="0" w:color="auto"/>
        <w:right w:val="none" w:sz="0" w:space="0" w:color="auto"/>
      </w:divBdr>
    </w:div>
    <w:div w:id="412624881">
      <w:bodyDiv w:val="1"/>
      <w:marLeft w:val="0"/>
      <w:marRight w:val="0"/>
      <w:marTop w:val="0"/>
      <w:marBottom w:val="0"/>
      <w:divBdr>
        <w:top w:val="none" w:sz="0" w:space="0" w:color="auto"/>
        <w:left w:val="none" w:sz="0" w:space="0" w:color="auto"/>
        <w:bottom w:val="none" w:sz="0" w:space="0" w:color="auto"/>
        <w:right w:val="none" w:sz="0" w:space="0" w:color="auto"/>
      </w:divBdr>
    </w:div>
    <w:div w:id="430244507">
      <w:bodyDiv w:val="1"/>
      <w:marLeft w:val="0"/>
      <w:marRight w:val="0"/>
      <w:marTop w:val="0"/>
      <w:marBottom w:val="0"/>
      <w:divBdr>
        <w:top w:val="none" w:sz="0" w:space="0" w:color="auto"/>
        <w:left w:val="none" w:sz="0" w:space="0" w:color="auto"/>
        <w:bottom w:val="none" w:sz="0" w:space="0" w:color="auto"/>
        <w:right w:val="none" w:sz="0" w:space="0" w:color="auto"/>
      </w:divBdr>
    </w:div>
    <w:div w:id="433943163">
      <w:bodyDiv w:val="1"/>
      <w:marLeft w:val="0"/>
      <w:marRight w:val="0"/>
      <w:marTop w:val="0"/>
      <w:marBottom w:val="0"/>
      <w:divBdr>
        <w:top w:val="none" w:sz="0" w:space="0" w:color="auto"/>
        <w:left w:val="none" w:sz="0" w:space="0" w:color="auto"/>
        <w:bottom w:val="none" w:sz="0" w:space="0" w:color="auto"/>
        <w:right w:val="none" w:sz="0" w:space="0" w:color="auto"/>
      </w:divBdr>
    </w:div>
    <w:div w:id="444426526">
      <w:bodyDiv w:val="1"/>
      <w:marLeft w:val="0"/>
      <w:marRight w:val="0"/>
      <w:marTop w:val="0"/>
      <w:marBottom w:val="0"/>
      <w:divBdr>
        <w:top w:val="none" w:sz="0" w:space="0" w:color="auto"/>
        <w:left w:val="none" w:sz="0" w:space="0" w:color="auto"/>
        <w:bottom w:val="none" w:sz="0" w:space="0" w:color="auto"/>
        <w:right w:val="none" w:sz="0" w:space="0" w:color="auto"/>
      </w:divBdr>
    </w:div>
    <w:div w:id="463232223">
      <w:bodyDiv w:val="1"/>
      <w:marLeft w:val="0"/>
      <w:marRight w:val="0"/>
      <w:marTop w:val="0"/>
      <w:marBottom w:val="0"/>
      <w:divBdr>
        <w:top w:val="none" w:sz="0" w:space="0" w:color="auto"/>
        <w:left w:val="none" w:sz="0" w:space="0" w:color="auto"/>
        <w:bottom w:val="none" w:sz="0" w:space="0" w:color="auto"/>
        <w:right w:val="none" w:sz="0" w:space="0" w:color="auto"/>
      </w:divBdr>
    </w:div>
    <w:div w:id="497497056">
      <w:bodyDiv w:val="1"/>
      <w:marLeft w:val="0"/>
      <w:marRight w:val="0"/>
      <w:marTop w:val="0"/>
      <w:marBottom w:val="0"/>
      <w:divBdr>
        <w:top w:val="none" w:sz="0" w:space="0" w:color="auto"/>
        <w:left w:val="none" w:sz="0" w:space="0" w:color="auto"/>
        <w:bottom w:val="none" w:sz="0" w:space="0" w:color="auto"/>
        <w:right w:val="none" w:sz="0" w:space="0" w:color="auto"/>
      </w:divBdr>
    </w:div>
    <w:div w:id="507839123">
      <w:bodyDiv w:val="1"/>
      <w:marLeft w:val="0"/>
      <w:marRight w:val="0"/>
      <w:marTop w:val="0"/>
      <w:marBottom w:val="0"/>
      <w:divBdr>
        <w:top w:val="none" w:sz="0" w:space="0" w:color="auto"/>
        <w:left w:val="none" w:sz="0" w:space="0" w:color="auto"/>
        <w:bottom w:val="none" w:sz="0" w:space="0" w:color="auto"/>
        <w:right w:val="none" w:sz="0" w:space="0" w:color="auto"/>
      </w:divBdr>
    </w:div>
    <w:div w:id="513151502">
      <w:bodyDiv w:val="1"/>
      <w:marLeft w:val="0"/>
      <w:marRight w:val="0"/>
      <w:marTop w:val="0"/>
      <w:marBottom w:val="0"/>
      <w:divBdr>
        <w:top w:val="none" w:sz="0" w:space="0" w:color="auto"/>
        <w:left w:val="none" w:sz="0" w:space="0" w:color="auto"/>
        <w:bottom w:val="none" w:sz="0" w:space="0" w:color="auto"/>
        <w:right w:val="none" w:sz="0" w:space="0" w:color="auto"/>
      </w:divBdr>
    </w:div>
    <w:div w:id="567954837">
      <w:bodyDiv w:val="1"/>
      <w:marLeft w:val="0"/>
      <w:marRight w:val="0"/>
      <w:marTop w:val="0"/>
      <w:marBottom w:val="0"/>
      <w:divBdr>
        <w:top w:val="none" w:sz="0" w:space="0" w:color="auto"/>
        <w:left w:val="none" w:sz="0" w:space="0" w:color="auto"/>
        <w:bottom w:val="none" w:sz="0" w:space="0" w:color="auto"/>
        <w:right w:val="none" w:sz="0" w:space="0" w:color="auto"/>
      </w:divBdr>
    </w:div>
    <w:div w:id="658385775">
      <w:bodyDiv w:val="1"/>
      <w:marLeft w:val="0"/>
      <w:marRight w:val="0"/>
      <w:marTop w:val="0"/>
      <w:marBottom w:val="0"/>
      <w:divBdr>
        <w:top w:val="none" w:sz="0" w:space="0" w:color="auto"/>
        <w:left w:val="none" w:sz="0" w:space="0" w:color="auto"/>
        <w:bottom w:val="none" w:sz="0" w:space="0" w:color="auto"/>
        <w:right w:val="none" w:sz="0" w:space="0" w:color="auto"/>
      </w:divBdr>
    </w:div>
    <w:div w:id="659576042">
      <w:bodyDiv w:val="1"/>
      <w:marLeft w:val="0"/>
      <w:marRight w:val="0"/>
      <w:marTop w:val="0"/>
      <w:marBottom w:val="0"/>
      <w:divBdr>
        <w:top w:val="none" w:sz="0" w:space="0" w:color="auto"/>
        <w:left w:val="none" w:sz="0" w:space="0" w:color="auto"/>
        <w:bottom w:val="none" w:sz="0" w:space="0" w:color="auto"/>
        <w:right w:val="none" w:sz="0" w:space="0" w:color="auto"/>
      </w:divBdr>
    </w:div>
    <w:div w:id="720133503">
      <w:bodyDiv w:val="1"/>
      <w:marLeft w:val="0"/>
      <w:marRight w:val="0"/>
      <w:marTop w:val="0"/>
      <w:marBottom w:val="0"/>
      <w:divBdr>
        <w:top w:val="none" w:sz="0" w:space="0" w:color="auto"/>
        <w:left w:val="none" w:sz="0" w:space="0" w:color="auto"/>
        <w:bottom w:val="none" w:sz="0" w:space="0" w:color="auto"/>
        <w:right w:val="none" w:sz="0" w:space="0" w:color="auto"/>
      </w:divBdr>
    </w:div>
    <w:div w:id="726533014">
      <w:bodyDiv w:val="1"/>
      <w:marLeft w:val="0"/>
      <w:marRight w:val="0"/>
      <w:marTop w:val="0"/>
      <w:marBottom w:val="0"/>
      <w:divBdr>
        <w:top w:val="none" w:sz="0" w:space="0" w:color="auto"/>
        <w:left w:val="none" w:sz="0" w:space="0" w:color="auto"/>
        <w:bottom w:val="none" w:sz="0" w:space="0" w:color="auto"/>
        <w:right w:val="none" w:sz="0" w:space="0" w:color="auto"/>
      </w:divBdr>
    </w:div>
    <w:div w:id="726732316">
      <w:bodyDiv w:val="1"/>
      <w:marLeft w:val="0"/>
      <w:marRight w:val="0"/>
      <w:marTop w:val="0"/>
      <w:marBottom w:val="0"/>
      <w:divBdr>
        <w:top w:val="none" w:sz="0" w:space="0" w:color="auto"/>
        <w:left w:val="none" w:sz="0" w:space="0" w:color="auto"/>
        <w:bottom w:val="none" w:sz="0" w:space="0" w:color="auto"/>
        <w:right w:val="none" w:sz="0" w:space="0" w:color="auto"/>
      </w:divBdr>
    </w:div>
    <w:div w:id="733939772">
      <w:bodyDiv w:val="1"/>
      <w:marLeft w:val="0"/>
      <w:marRight w:val="0"/>
      <w:marTop w:val="0"/>
      <w:marBottom w:val="0"/>
      <w:divBdr>
        <w:top w:val="none" w:sz="0" w:space="0" w:color="auto"/>
        <w:left w:val="none" w:sz="0" w:space="0" w:color="auto"/>
        <w:bottom w:val="none" w:sz="0" w:space="0" w:color="auto"/>
        <w:right w:val="none" w:sz="0" w:space="0" w:color="auto"/>
      </w:divBdr>
    </w:div>
    <w:div w:id="758211030">
      <w:bodyDiv w:val="1"/>
      <w:marLeft w:val="0"/>
      <w:marRight w:val="0"/>
      <w:marTop w:val="0"/>
      <w:marBottom w:val="0"/>
      <w:divBdr>
        <w:top w:val="none" w:sz="0" w:space="0" w:color="auto"/>
        <w:left w:val="none" w:sz="0" w:space="0" w:color="auto"/>
        <w:bottom w:val="none" w:sz="0" w:space="0" w:color="auto"/>
        <w:right w:val="none" w:sz="0" w:space="0" w:color="auto"/>
      </w:divBdr>
    </w:div>
    <w:div w:id="822816810">
      <w:bodyDiv w:val="1"/>
      <w:marLeft w:val="0"/>
      <w:marRight w:val="0"/>
      <w:marTop w:val="0"/>
      <w:marBottom w:val="0"/>
      <w:divBdr>
        <w:top w:val="none" w:sz="0" w:space="0" w:color="auto"/>
        <w:left w:val="none" w:sz="0" w:space="0" w:color="auto"/>
        <w:bottom w:val="none" w:sz="0" w:space="0" w:color="auto"/>
        <w:right w:val="none" w:sz="0" w:space="0" w:color="auto"/>
      </w:divBdr>
    </w:div>
    <w:div w:id="865564402">
      <w:bodyDiv w:val="1"/>
      <w:marLeft w:val="0"/>
      <w:marRight w:val="0"/>
      <w:marTop w:val="0"/>
      <w:marBottom w:val="0"/>
      <w:divBdr>
        <w:top w:val="none" w:sz="0" w:space="0" w:color="auto"/>
        <w:left w:val="none" w:sz="0" w:space="0" w:color="auto"/>
        <w:bottom w:val="none" w:sz="0" w:space="0" w:color="auto"/>
        <w:right w:val="none" w:sz="0" w:space="0" w:color="auto"/>
      </w:divBdr>
    </w:div>
    <w:div w:id="899023375">
      <w:bodyDiv w:val="1"/>
      <w:marLeft w:val="0"/>
      <w:marRight w:val="0"/>
      <w:marTop w:val="0"/>
      <w:marBottom w:val="0"/>
      <w:divBdr>
        <w:top w:val="none" w:sz="0" w:space="0" w:color="auto"/>
        <w:left w:val="none" w:sz="0" w:space="0" w:color="auto"/>
        <w:bottom w:val="none" w:sz="0" w:space="0" w:color="auto"/>
        <w:right w:val="none" w:sz="0" w:space="0" w:color="auto"/>
      </w:divBdr>
    </w:div>
    <w:div w:id="911621319">
      <w:bodyDiv w:val="1"/>
      <w:marLeft w:val="0"/>
      <w:marRight w:val="0"/>
      <w:marTop w:val="0"/>
      <w:marBottom w:val="0"/>
      <w:divBdr>
        <w:top w:val="none" w:sz="0" w:space="0" w:color="auto"/>
        <w:left w:val="none" w:sz="0" w:space="0" w:color="auto"/>
        <w:bottom w:val="none" w:sz="0" w:space="0" w:color="auto"/>
        <w:right w:val="none" w:sz="0" w:space="0" w:color="auto"/>
      </w:divBdr>
    </w:div>
    <w:div w:id="928538523">
      <w:bodyDiv w:val="1"/>
      <w:marLeft w:val="0"/>
      <w:marRight w:val="0"/>
      <w:marTop w:val="0"/>
      <w:marBottom w:val="0"/>
      <w:divBdr>
        <w:top w:val="none" w:sz="0" w:space="0" w:color="auto"/>
        <w:left w:val="none" w:sz="0" w:space="0" w:color="auto"/>
        <w:bottom w:val="none" w:sz="0" w:space="0" w:color="auto"/>
        <w:right w:val="none" w:sz="0" w:space="0" w:color="auto"/>
      </w:divBdr>
    </w:div>
    <w:div w:id="955909705">
      <w:bodyDiv w:val="1"/>
      <w:marLeft w:val="0"/>
      <w:marRight w:val="0"/>
      <w:marTop w:val="0"/>
      <w:marBottom w:val="0"/>
      <w:divBdr>
        <w:top w:val="none" w:sz="0" w:space="0" w:color="auto"/>
        <w:left w:val="none" w:sz="0" w:space="0" w:color="auto"/>
        <w:bottom w:val="none" w:sz="0" w:space="0" w:color="auto"/>
        <w:right w:val="none" w:sz="0" w:space="0" w:color="auto"/>
      </w:divBdr>
    </w:div>
    <w:div w:id="1003119467">
      <w:bodyDiv w:val="1"/>
      <w:marLeft w:val="0"/>
      <w:marRight w:val="0"/>
      <w:marTop w:val="0"/>
      <w:marBottom w:val="0"/>
      <w:divBdr>
        <w:top w:val="none" w:sz="0" w:space="0" w:color="auto"/>
        <w:left w:val="none" w:sz="0" w:space="0" w:color="auto"/>
        <w:bottom w:val="none" w:sz="0" w:space="0" w:color="auto"/>
        <w:right w:val="none" w:sz="0" w:space="0" w:color="auto"/>
      </w:divBdr>
    </w:div>
    <w:div w:id="1020473045">
      <w:bodyDiv w:val="1"/>
      <w:marLeft w:val="0"/>
      <w:marRight w:val="0"/>
      <w:marTop w:val="0"/>
      <w:marBottom w:val="0"/>
      <w:divBdr>
        <w:top w:val="none" w:sz="0" w:space="0" w:color="auto"/>
        <w:left w:val="none" w:sz="0" w:space="0" w:color="auto"/>
        <w:bottom w:val="none" w:sz="0" w:space="0" w:color="auto"/>
        <w:right w:val="none" w:sz="0" w:space="0" w:color="auto"/>
      </w:divBdr>
    </w:div>
    <w:div w:id="1027292901">
      <w:bodyDiv w:val="1"/>
      <w:marLeft w:val="0"/>
      <w:marRight w:val="0"/>
      <w:marTop w:val="0"/>
      <w:marBottom w:val="0"/>
      <w:divBdr>
        <w:top w:val="none" w:sz="0" w:space="0" w:color="auto"/>
        <w:left w:val="none" w:sz="0" w:space="0" w:color="auto"/>
        <w:bottom w:val="none" w:sz="0" w:space="0" w:color="auto"/>
        <w:right w:val="none" w:sz="0" w:space="0" w:color="auto"/>
      </w:divBdr>
    </w:div>
    <w:div w:id="1081636271">
      <w:bodyDiv w:val="1"/>
      <w:marLeft w:val="0"/>
      <w:marRight w:val="0"/>
      <w:marTop w:val="0"/>
      <w:marBottom w:val="0"/>
      <w:divBdr>
        <w:top w:val="none" w:sz="0" w:space="0" w:color="auto"/>
        <w:left w:val="none" w:sz="0" w:space="0" w:color="auto"/>
        <w:bottom w:val="none" w:sz="0" w:space="0" w:color="auto"/>
        <w:right w:val="none" w:sz="0" w:space="0" w:color="auto"/>
      </w:divBdr>
    </w:div>
    <w:div w:id="1126237122">
      <w:bodyDiv w:val="1"/>
      <w:marLeft w:val="0"/>
      <w:marRight w:val="0"/>
      <w:marTop w:val="0"/>
      <w:marBottom w:val="0"/>
      <w:divBdr>
        <w:top w:val="none" w:sz="0" w:space="0" w:color="auto"/>
        <w:left w:val="none" w:sz="0" w:space="0" w:color="auto"/>
        <w:bottom w:val="none" w:sz="0" w:space="0" w:color="auto"/>
        <w:right w:val="none" w:sz="0" w:space="0" w:color="auto"/>
      </w:divBdr>
    </w:div>
    <w:div w:id="1161311745">
      <w:bodyDiv w:val="1"/>
      <w:marLeft w:val="0"/>
      <w:marRight w:val="0"/>
      <w:marTop w:val="0"/>
      <w:marBottom w:val="0"/>
      <w:divBdr>
        <w:top w:val="none" w:sz="0" w:space="0" w:color="auto"/>
        <w:left w:val="none" w:sz="0" w:space="0" w:color="auto"/>
        <w:bottom w:val="none" w:sz="0" w:space="0" w:color="auto"/>
        <w:right w:val="none" w:sz="0" w:space="0" w:color="auto"/>
      </w:divBdr>
    </w:div>
    <w:div w:id="1228296145">
      <w:bodyDiv w:val="1"/>
      <w:marLeft w:val="0"/>
      <w:marRight w:val="0"/>
      <w:marTop w:val="0"/>
      <w:marBottom w:val="0"/>
      <w:divBdr>
        <w:top w:val="none" w:sz="0" w:space="0" w:color="auto"/>
        <w:left w:val="none" w:sz="0" w:space="0" w:color="auto"/>
        <w:bottom w:val="none" w:sz="0" w:space="0" w:color="auto"/>
        <w:right w:val="none" w:sz="0" w:space="0" w:color="auto"/>
      </w:divBdr>
    </w:div>
    <w:div w:id="1322271537">
      <w:bodyDiv w:val="1"/>
      <w:marLeft w:val="0"/>
      <w:marRight w:val="0"/>
      <w:marTop w:val="0"/>
      <w:marBottom w:val="0"/>
      <w:divBdr>
        <w:top w:val="none" w:sz="0" w:space="0" w:color="auto"/>
        <w:left w:val="none" w:sz="0" w:space="0" w:color="auto"/>
        <w:bottom w:val="none" w:sz="0" w:space="0" w:color="auto"/>
        <w:right w:val="none" w:sz="0" w:space="0" w:color="auto"/>
      </w:divBdr>
    </w:div>
    <w:div w:id="1325862573">
      <w:bodyDiv w:val="1"/>
      <w:marLeft w:val="0"/>
      <w:marRight w:val="0"/>
      <w:marTop w:val="0"/>
      <w:marBottom w:val="0"/>
      <w:divBdr>
        <w:top w:val="none" w:sz="0" w:space="0" w:color="auto"/>
        <w:left w:val="none" w:sz="0" w:space="0" w:color="auto"/>
        <w:bottom w:val="none" w:sz="0" w:space="0" w:color="auto"/>
        <w:right w:val="none" w:sz="0" w:space="0" w:color="auto"/>
      </w:divBdr>
    </w:div>
    <w:div w:id="1354071384">
      <w:bodyDiv w:val="1"/>
      <w:marLeft w:val="0"/>
      <w:marRight w:val="0"/>
      <w:marTop w:val="0"/>
      <w:marBottom w:val="0"/>
      <w:divBdr>
        <w:top w:val="none" w:sz="0" w:space="0" w:color="auto"/>
        <w:left w:val="none" w:sz="0" w:space="0" w:color="auto"/>
        <w:bottom w:val="none" w:sz="0" w:space="0" w:color="auto"/>
        <w:right w:val="none" w:sz="0" w:space="0" w:color="auto"/>
      </w:divBdr>
    </w:div>
    <w:div w:id="1354384307">
      <w:bodyDiv w:val="1"/>
      <w:marLeft w:val="0"/>
      <w:marRight w:val="0"/>
      <w:marTop w:val="0"/>
      <w:marBottom w:val="0"/>
      <w:divBdr>
        <w:top w:val="none" w:sz="0" w:space="0" w:color="auto"/>
        <w:left w:val="none" w:sz="0" w:space="0" w:color="auto"/>
        <w:bottom w:val="none" w:sz="0" w:space="0" w:color="auto"/>
        <w:right w:val="none" w:sz="0" w:space="0" w:color="auto"/>
      </w:divBdr>
    </w:div>
    <w:div w:id="1399667322">
      <w:bodyDiv w:val="1"/>
      <w:marLeft w:val="0"/>
      <w:marRight w:val="0"/>
      <w:marTop w:val="0"/>
      <w:marBottom w:val="0"/>
      <w:divBdr>
        <w:top w:val="none" w:sz="0" w:space="0" w:color="auto"/>
        <w:left w:val="none" w:sz="0" w:space="0" w:color="auto"/>
        <w:bottom w:val="none" w:sz="0" w:space="0" w:color="auto"/>
        <w:right w:val="none" w:sz="0" w:space="0" w:color="auto"/>
      </w:divBdr>
    </w:div>
    <w:div w:id="1415780495">
      <w:bodyDiv w:val="1"/>
      <w:marLeft w:val="0"/>
      <w:marRight w:val="0"/>
      <w:marTop w:val="0"/>
      <w:marBottom w:val="0"/>
      <w:divBdr>
        <w:top w:val="none" w:sz="0" w:space="0" w:color="auto"/>
        <w:left w:val="none" w:sz="0" w:space="0" w:color="auto"/>
        <w:bottom w:val="none" w:sz="0" w:space="0" w:color="auto"/>
        <w:right w:val="none" w:sz="0" w:space="0" w:color="auto"/>
      </w:divBdr>
    </w:div>
    <w:div w:id="1420760530">
      <w:bodyDiv w:val="1"/>
      <w:marLeft w:val="0"/>
      <w:marRight w:val="0"/>
      <w:marTop w:val="0"/>
      <w:marBottom w:val="0"/>
      <w:divBdr>
        <w:top w:val="none" w:sz="0" w:space="0" w:color="auto"/>
        <w:left w:val="none" w:sz="0" w:space="0" w:color="auto"/>
        <w:bottom w:val="none" w:sz="0" w:space="0" w:color="auto"/>
        <w:right w:val="none" w:sz="0" w:space="0" w:color="auto"/>
      </w:divBdr>
    </w:div>
    <w:div w:id="1427116026">
      <w:bodyDiv w:val="1"/>
      <w:marLeft w:val="0"/>
      <w:marRight w:val="0"/>
      <w:marTop w:val="0"/>
      <w:marBottom w:val="0"/>
      <w:divBdr>
        <w:top w:val="none" w:sz="0" w:space="0" w:color="auto"/>
        <w:left w:val="none" w:sz="0" w:space="0" w:color="auto"/>
        <w:bottom w:val="none" w:sz="0" w:space="0" w:color="auto"/>
        <w:right w:val="none" w:sz="0" w:space="0" w:color="auto"/>
      </w:divBdr>
    </w:div>
    <w:div w:id="1494837473">
      <w:bodyDiv w:val="1"/>
      <w:marLeft w:val="0"/>
      <w:marRight w:val="0"/>
      <w:marTop w:val="0"/>
      <w:marBottom w:val="0"/>
      <w:divBdr>
        <w:top w:val="none" w:sz="0" w:space="0" w:color="auto"/>
        <w:left w:val="none" w:sz="0" w:space="0" w:color="auto"/>
        <w:bottom w:val="none" w:sz="0" w:space="0" w:color="auto"/>
        <w:right w:val="none" w:sz="0" w:space="0" w:color="auto"/>
      </w:divBdr>
    </w:div>
    <w:div w:id="1501700582">
      <w:bodyDiv w:val="1"/>
      <w:marLeft w:val="0"/>
      <w:marRight w:val="0"/>
      <w:marTop w:val="0"/>
      <w:marBottom w:val="0"/>
      <w:divBdr>
        <w:top w:val="none" w:sz="0" w:space="0" w:color="auto"/>
        <w:left w:val="none" w:sz="0" w:space="0" w:color="auto"/>
        <w:bottom w:val="none" w:sz="0" w:space="0" w:color="auto"/>
        <w:right w:val="none" w:sz="0" w:space="0" w:color="auto"/>
      </w:divBdr>
    </w:div>
    <w:div w:id="1544095697">
      <w:bodyDiv w:val="1"/>
      <w:marLeft w:val="0"/>
      <w:marRight w:val="0"/>
      <w:marTop w:val="0"/>
      <w:marBottom w:val="0"/>
      <w:divBdr>
        <w:top w:val="none" w:sz="0" w:space="0" w:color="auto"/>
        <w:left w:val="none" w:sz="0" w:space="0" w:color="auto"/>
        <w:bottom w:val="none" w:sz="0" w:space="0" w:color="auto"/>
        <w:right w:val="none" w:sz="0" w:space="0" w:color="auto"/>
      </w:divBdr>
    </w:div>
    <w:div w:id="1552841124">
      <w:bodyDiv w:val="1"/>
      <w:marLeft w:val="0"/>
      <w:marRight w:val="0"/>
      <w:marTop w:val="0"/>
      <w:marBottom w:val="0"/>
      <w:divBdr>
        <w:top w:val="none" w:sz="0" w:space="0" w:color="auto"/>
        <w:left w:val="none" w:sz="0" w:space="0" w:color="auto"/>
        <w:bottom w:val="none" w:sz="0" w:space="0" w:color="auto"/>
        <w:right w:val="none" w:sz="0" w:space="0" w:color="auto"/>
      </w:divBdr>
    </w:div>
    <w:div w:id="1590576089">
      <w:bodyDiv w:val="1"/>
      <w:marLeft w:val="0"/>
      <w:marRight w:val="0"/>
      <w:marTop w:val="0"/>
      <w:marBottom w:val="0"/>
      <w:divBdr>
        <w:top w:val="none" w:sz="0" w:space="0" w:color="auto"/>
        <w:left w:val="none" w:sz="0" w:space="0" w:color="auto"/>
        <w:bottom w:val="none" w:sz="0" w:space="0" w:color="auto"/>
        <w:right w:val="none" w:sz="0" w:space="0" w:color="auto"/>
      </w:divBdr>
    </w:div>
    <w:div w:id="1606843755">
      <w:bodyDiv w:val="1"/>
      <w:marLeft w:val="0"/>
      <w:marRight w:val="0"/>
      <w:marTop w:val="0"/>
      <w:marBottom w:val="0"/>
      <w:divBdr>
        <w:top w:val="none" w:sz="0" w:space="0" w:color="auto"/>
        <w:left w:val="none" w:sz="0" w:space="0" w:color="auto"/>
        <w:bottom w:val="none" w:sz="0" w:space="0" w:color="auto"/>
        <w:right w:val="none" w:sz="0" w:space="0" w:color="auto"/>
      </w:divBdr>
    </w:div>
    <w:div w:id="1610963586">
      <w:bodyDiv w:val="1"/>
      <w:marLeft w:val="0"/>
      <w:marRight w:val="0"/>
      <w:marTop w:val="0"/>
      <w:marBottom w:val="0"/>
      <w:divBdr>
        <w:top w:val="none" w:sz="0" w:space="0" w:color="auto"/>
        <w:left w:val="none" w:sz="0" w:space="0" w:color="auto"/>
        <w:bottom w:val="none" w:sz="0" w:space="0" w:color="auto"/>
        <w:right w:val="none" w:sz="0" w:space="0" w:color="auto"/>
      </w:divBdr>
    </w:div>
    <w:div w:id="1676421357">
      <w:bodyDiv w:val="1"/>
      <w:marLeft w:val="0"/>
      <w:marRight w:val="0"/>
      <w:marTop w:val="0"/>
      <w:marBottom w:val="0"/>
      <w:divBdr>
        <w:top w:val="none" w:sz="0" w:space="0" w:color="auto"/>
        <w:left w:val="none" w:sz="0" w:space="0" w:color="auto"/>
        <w:bottom w:val="none" w:sz="0" w:space="0" w:color="auto"/>
        <w:right w:val="none" w:sz="0" w:space="0" w:color="auto"/>
      </w:divBdr>
    </w:div>
    <w:div w:id="1680692976">
      <w:bodyDiv w:val="1"/>
      <w:marLeft w:val="0"/>
      <w:marRight w:val="0"/>
      <w:marTop w:val="0"/>
      <w:marBottom w:val="0"/>
      <w:divBdr>
        <w:top w:val="none" w:sz="0" w:space="0" w:color="auto"/>
        <w:left w:val="none" w:sz="0" w:space="0" w:color="auto"/>
        <w:bottom w:val="none" w:sz="0" w:space="0" w:color="auto"/>
        <w:right w:val="none" w:sz="0" w:space="0" w:color="auto"/>
      </w:divBdr>
    </w:div>
    <w:div w:id="1683123097">
      <w:bodyDiv w:val="1"/>
      <w:marLeft w:val="0"/>
      <w:marRight w:val="0"/>
      <w:marTop w:val="0"/>
      <w:marBottom w:val="0"/>
      <w:divBdr>
        <w:top w:val="none" w:sz="0" w:space="0" w:color="auto"/>
        <w:left w:val="none" w:sz="0" w:space="0" w:color="auto"/>
        <w:bottom w:val="none" w:sz="0" w:space="0" w:color="auto"/>
        <w:right w:val="none" w:sz="0" w:space="0" w:color="auto"/>
      </w:divBdr>
    </w:div>
    <w:div w:id="1723754130">
      <w:bodyDiv w:val="1"/>
      <w:marLeft w:val="0"/>
      <w:marRight w:val="0"/>
      <w:marTop w:val="0"/>
      <w:marBottom w:val="0"/>
      <w:divBdr>
        <w:top w:val="none" w:sz="0" w:space="0" w:color="auto"/>
        <w:left w:val="none" w:sz="0" w:space="0" w:color="auto"/>
        <w:bottom w:val="none" w:sz="0" w:space="0" w:color="auto"/>
        <w:right w:val="none" w:sz="0" w:space="0" w:color="auto"/>
      </w:divBdr>
    </w:div>
    <w:div w:id="1740052829">
      <w:bodyDiv w:val="1"/>
      <w:marLeft w:val="0"/>
      <w:marRight w:val="0"/>
      <w:marTop w:val="0"/>
      <w:marBottom w:val="0"/>
      <w:divBdr>
        <w:top w:val="none" w:sz="0" w:space="0" w:color="auto"/>
        <w:left w:val="none" w:sz="0" w:space="0" w:color="auto"/>
        <w:bottom w:val="none" w:sz="0" w:space="0" w:color="auto"/>
        <w:right w:val="none" w:sz="0" w:space="0" w:color="auto"/>
      </w:divBdr>
    </w:div>
    <w:div w:id="1754669719">
      <w:bodyDiv w:val="1"/>
      <w:marLeft w:val="0"/>
      <w:marRight w:val="0"/>
      <w:marTop w:val="0"/>
      <w:marBottom w:val="0"/>
      <w:divBdr>
        <w:top w:val="none" w:sz="0" w:space="0" w:color="auto"/>
        <w:left w:val="none" w:sz="0" w:space="0" w:color="auto"/>
        <w:bottom w:val="none" w:sz="0" w:space="0" w:color="auto"/>
        <w:right w:val="none" w:sz="0" w:space="0" w:color="auto"/>
      </w:divBdr>
    </w:div>
    <w:div w:id="1762221324">
      <w:bodyDiv w:val="1"/>
      <w:marLeft w:val="0"/>
      <w:marRight w:val="0"/>
      <w:marTop w:val="0"/>
      <w:marBottom w:val="0"/>
      <w:divBdr>
        <w:top w:val="none" w:sz="0" w:space="0" w:color="auto"/>
        <w:left w:val="none" w:sz="0" w:space="0" w:color="auto"/>
        <w:bottom w:val="none" w:sz="0" w:space="0" w:color="auto"/>
        <w:right w:val="none" w:sz="0" w:space="0" w:color="auto"/>
      </w:divBdr>
    </w:div>
    <w:div w:id="1786149647">
      <w:bodyDiv w:val="1"/>
      <w:marLeft w:val="0"/>
      <w:marRight w:val="0"/>
      <w:marTop w:val="0"/>
      <w:marBottom w:val="0"/>
      <w:divBdr>
        <w:top w:val="none" w:sz="0" w:space="0" w:color="auto"/>
        <w:left w:val="none" w:sz="0" w:space="0" w:color="auto"/>
        <w:bottom w:val="none" w:sz="0" w:space="0" w:color="auto"/>
        <w:right w:val="none" w:sz="0" w:space="0" w:color="auto"/>
      </w:divBdr>
    </w:div>
    <w:div w:id="1829201370">
      <w:bodyDiv w:val="1"/>
      <w:marLeft w:val="0"/>
      <w:marRight w:val="0"/>
      <w:marTop w:val="0"/>
      <w:marBottom w:val="0"/>
      <w:divBdr>
        <w:top w:val="none" w:sz="0" w:space="0" w:color="auto"/>
        <w:left w:val="none" w:sz="0" w:space="0" w:color="auto"/>
        <w:bottom w:val="none" w:sz="0" w:space="0" w:color="auto"/>
        <w:right w:val="none" w:sz="0" w:space="0" w:color="auto"/>
      </w:divBdr>
    </w:div>
    <w:div w:id="1839079104">
      <w:bodyDiv w:val="1"/>
      <w:marLeft w:val="0"/>
      <w:marRight w:val="0"/>
      <w:marTop w:val="0"/>
      <w:marBottom w:val="0"/>
      <w:divBdr>
        <w:top w:val="none" w:sz="0" w:space="0" w:color="auto"/>
        <w:left w:val="none" w:sz="0" w:space="0" w:color="auto"/>
        <w:bottom w:val="none" w:sz="0" w:space="0" w:color="auto"/>
        <w:right w:val="none" w:sz="0" w:space="0" w:color="auto"/>
      </w:divBdr>
    </w:div>
    <w:div w:id="1849098847">
      <w:bodyDiv w:val="1"/>
      <w:marLeft w:val="0"/>
      <w:marRight w:val="0"/>
      <w:marTop w:val="0"/>
      <w:marBottom w:val="0"/>
      <w:divBdr>
        <w:top w:val="none" w:sz="0" w:space="0" w:color="auto"/>
        <w:left w:val="none" w:sz="0" w:space="0" w:color="auto"/>
        <w:bottom w:val="none" w:sz="0" w:space="0" w:color="auto"/>
        <w:right w:val="none" w:sz="0" w:space="0" w:color="auto"/>
      </w:divBdr>
    </w:div>
    <w:div w:id="1897549553">
      <w:bodyDiv w:val="1"/>
      <w:marLeft w:val="0"/>
      <w:marRight w:val="0"/>
      <w:marTop w:val="0"/>
      <w:marBottom w:val="0"/>
      <w:divBdr>
        <w:top w:val="none" w:sz="0" w:space="0" w:color="auto"/>
        <w:left w:val="none" w:sz="0" w:space="0" w:color="auto"/>
        <w:bottom w:val="none" w:sz="0" w:space="0" w:color="auto"/>
        <w:right w:val="none" w:sz="0" w:space="0" w:color="auto"/>
      </w:divBdr>
    </w:div>
    <w:div w:id="1935942700">
      <w:bodyDiv w:val="1"/>
      <w:marLeft w:val="0"/>
      <w:marRight w:val="0"/>
      <w:marTop w:val="0"/>
      <w:marBottom w:val="0"/>
      <w:divBdr>
        <w:top w:val="none" w:sz="0" w:space="0" w:color="auto"/>
        <w:left w:val="none" w:sz="0" w:space="0" w:color="auto"/>
        <w:bottom w:val="none" w:sz="0" w:space="0" w:color="auto"/>
        <w:right w:val="none" w:sz="0" w:space="0" w:color="auto"/>
      </w:divBdr>
    </w:div>
    <w:div w:id="1981883956">
      <w:bodyDiv w:val="1"/>
      <w:marLeft w:val="0"/>
      <w:marRight w:val="0"/>
      <w:marTop w:val="0"/>
      <w:marBottom w:val="0"/>
      <w:divBdr>
        <w:top w:val="none" w:sz="0" w:space="0" w:color="auto"/>
        <w:left w:val="none" w:sz="0" w:space="0" w:color="auto"/>
        <w:bottom w:val="none" w:sz="0" w:space="0" w:color="auto"/>
        <w:right w:val="none" w:sz="0" w:space="0" w:color="auto"/>
      </w:divBdr>
    </w:div>
    <w:div w:id="2053455756">
      <w:bodyDiv w:val="1"/>
      <w:marLeft w:val="0"/>
      <w:marRight w:val="0"/>
      <w:marTop w:val="0"/>
      <w:marBottom w:val="0"/>
      <w:divBdr>
        <w:top w:val="none" w:sz="0" w:space="0" w:color="auto"/>
        <w:left w:val="none" w:sz="0" w:space="0" w:color="auto"/>
        <w:bottom w:val="none" w:sz="0" w:space="0" w:color="auto"/>
        <w:right w:val="none" w:sz="0" w:space="0" w:color="auto"/>
      </w:divBdr>
    </w:div>
    <w:div w:id="213177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7E7C0A-C764-4727-9123-233146B62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29</Pages>
  <Words>7933</Words>
  <Characters>45219</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Annual Financial Report</vt:lpstr>
    </vt:vector>
  </TitlesOfParts>
  <Company>Champaign Health District</Company>
  <LinksUpToDate>false</LinksUpToDate>
  <CharactersWithSpaces>53046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Financial Report</dc:title>
  <dc:creator>Gabe Jones, MPH</dc:creator>
  <cp:lastModifiedBy>Gabe Jones</cp:lastModifiedBy>
  <cp:revision>4</cp:revision>
  <cp:lastPrinted>2023-03-30T20:48:00Z</cp:lastPrinted>
  <dcterms:created xsi:type="dcterms:W3CDTF">2023-06-22T20:04:00Z</dcterms:created>
  <dcterms:modified xsi:type="dcterms:W3CDTF">2023-06-22T21:04:00Z</dcterms:modified>
</cp:coreProperties>
</file>